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120 Trio QL</w:t>
      </w:r>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a nízkou hmotností (25 kg): Díky tomu vhodný především pro vestavbu do zavěšených stropů. Dále je také možná instalace na stěnu nebo na šikmou střešní stěnu.</w:t>
      </w:r>
    </w:p>
    <w:p>
      <w:pPr/>
      <w:r>
        <w:rPr>
          <w:rFonts w:ascii="Arial" w:hAnsi="Arial" w:eastAsia="Arial" w:cs="Arial"/>
          <w:sz w:val="24"/>
          <w:szCs w:val="24"/>
        </w:rPr>
        <w:t xml:space="preserve">Hrdla venkovního, odpadního, přívodního a odvodního vzduchu v DN 125: Maximální flexibilita díky 3D hrdlům, připojení vzduchového vedení je možné z každé strany. K tomu je nutné pouze jednoduše přestavět EPP zátky.</w:t>
      </w:r>
    </w:p>
    <w:p>
      <w:pPr/>
      <w:r>
        <w:rPr>
          <w:rFonts w:ascii="Arial" w:hAnsi="Arial" w:eastAsia="Arial" w:cs="Arial"/>
          <w:sz w:val="24"/>
          <w:szCs w:val="24"/>
        </w:rPr>
        <w:t xml:space="preserve">Další flexibilita na straně přívodu a odvodu: Volitelné připojení DN 125 nebo přímé vedení vzduchu až čtyřmi trubkami DN 75 pro přívod a odvod. Jednoduchá a rychlá montáž pomocí proražením nebo přestavěním EPP zátek.</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WS 120 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Rozhraní USB je integrováno v krytu přístroje - odpadá nutnost demontáže krytu při uvádění do provozu nebo při aktualizaci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Integrované rozhraní BACnet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regulace zónových klapek nebo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z černého EPP s bílým krytem z ocelového plechu.</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60 %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nebo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Umožňuje kompletní uvedení WS 120 Trio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Schválení DIBt v návrhu.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81 % u varianty L a 84 % u varianty Q.</w:t>
      </w:r>
    </w:p>
    <w:p>
      <w:pPr/>
      <w:r>
        <w:rPr>
          <w:rFonts w:ascii="Arial" w:hAnsi="Arial" w:eastAsia="Arial" w:cs="Arial"/>
          <w:sz w:val="24"/>
          <w:szCs w:val="24"/>
        </w:rPr>
        <w:t xml:space="preserve">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Pr/>
      <w:r>
        <w:rPr>
          <w:rFonts w:ascii="Arial" w:hAnsi="Arial" w:eastAsia="Arial" w:cs="Arial"/>
          <w:sz w:val="24"/>
          <w:szCs w:val="24"/>
        </w:rPr>
        <w:t xml:space="preserve">Provedení V: Ochrana proti zamrznutí integrovaným registrem předehřevu.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Pr/>
      <w:r>
        <w:rPr>
          <w:rFonts w:ascii="Arial" w:hAnsi="Arial" w:eastAsia="Arial" w:cs="Arial"/>
          <w:sz w:val="24"/>
          <w:szCs w:val="24"/>
        </w:rPr>
        <w:t xml:space="preserve">Z přístroje je vyveden síťový kabel o délce cca 2,5 m.</w:t>
      </w:r>
    </w:p>
    <w:p>
      <w:pPr/>
      <w:r>
        <w:rPr>
          <w:rFonts w:ascii="Arial" w:hAnsi="Arial" w:eastAsia="Arial" w:cs="Arial"/>
          <w:sz w:val="24"/>
          <w:szCs w:val="24"/>
        </w:rPr>
        <w:t xml:space="preserve">Z přístroje je vyveden kabel pro připojení ovládacího dílu RLS 1 WR o délce cca 2 m.</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120 Trio QL</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S příčným prouděním, odvod vlevo</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Počet otáček:</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-38,03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0,27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20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vyžadováno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Umělá hmota EPP / pozinkovaný plech</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60 % (F7)</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69 %</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Trio CO2 E, Trio CO2 I</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Trio VOC E, Trio VOC I</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30 dB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4012799956594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0095.0659</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120 Trio QL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2024-07-03T09:31:19+00:00</dcterms:created>
  <dcterms:modified xsi:type="dcterms:W3CDTF">2024-07-03T09:31:19+00:00</dcterms:modified>
</cp:coreProperties>
</file>

<file path=docProps/custom.xml><?xml version="1.0" encoding="utf-8"?>
<Properties xmlns="http://schemas.openxmlformats.org/officeDocument/2006/custom-properties" xmlns:vt="http://schemas.openxmlformats.org/officeDocument/2006/docPropsVTypes"/>
</file>