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25 Ex e</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T3 Gb / Ex II 2G h IIB+H2 T3 Gb.</w:t>
      </w:r>
    </w:p>
    <w:p>
      <w:pPr/>
      <w:r>
        <w:rPr>
          <w:rFonts w:ascii="Arial" w:hAnsi="Arial" w:eastAsia="Arial" w:cs="Arial"/>
          <w:sz w:val="24"/>
          <w:szCs w:val="24"/>
        </w:rPr>
        <w:t xml:space="preserve">Suitable for temperature classes T1 to T3 (200°C).</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25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0,93</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16µF/280V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4012799802495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0080.0249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25 Ex e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2024-07-17T11:46:15+00:00</dcterms:created>
  <dcterms:modified xsi:type="dcterms:W3CDTF">2024-07-17T11:46:15+00:00</dcterms:modified>
</cp:coreProperties>
</file>

<file path=docProps/custom.xml><?xml version="1.0" encoding="utf-8"?>
<Properties xmlns="http://schemas.openxmlformats.org/officeDocument/2006/custom-properties" xmlns:vt="http://schemas.openxmlformats.org/officeDocument/2006/docPropsVTypes"/>
</file>