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4"/>
          <w:szCs w:val="24"/>
          <w:b/>
        </w:rPr>
        <w:t xml:space="preserve">Sound-insulated ventilation box ESR 25-2</w:t>
      </w:r>
    </w:p>
    <w:p>
      <w:pPr/>
      <w:r>
        <w:rPr>
          <w:rFonts w:ascii="Arial" w:hAnsi="Arial" w:eastAsia="Arial" w:cs="Arial"/>
          <w:sz w:val="24"/>
          <w:szCs w:val="24"/>
        </w:rPr>
        <w:t xml:space="preserve">Features</w:t>
      </w:r>
    </w:p>
    <w:p>
      <w:pPr/>
      <w:r>
        <w:rPr>
          <w:rFonts w:ascii="Arial" w:hAnsi="Arial" w:eastAsia="Arial" w:cs="Arial"/>
          <w:sz w:val="24"/>
          <w:szCs w:val="24"/>
        </w:rPr>
        <w:t xml:space="preserve">With 50 mm sound absorbing mineral fibre plates to meet the increased requirements for especially low noise levels.</w:t>
      </w:r>
    </w:p>
    <w:p>
      <w:pPr/>
      <w:r>
        <w:rPr>
          <w:rFonts w:ascii="Arial" w:hAnsi="Arial" w:eastAsia="Arial" w:cs="Arial"/>
          <w:sz w:val="24"/>
          <w:szCs w:val="24"/>
        </w:rPr>
        <w:t xml:space="preserve">Inlet and outlet side connection couplings for direct installation in ventilation ducts.</w:t>
      </w:r>
    </w:p>
    <w:p>
      <w:pPr/>
      <w:r>
        <w:rPr>
          <w:rFonts w:ascii="Arial" w:hAnsi="Arial" w:eastAsia="Arial" w:cs="Arial"/>
          <w:sz w:val="24"/>
          <w:szCs w:val="24"/>
        </w:rPr>
        <w:t xml:space="preserve">Removable housing cover fitted with clip-locks - enables easy and quick cleaning of the ventilation box.</w:t>
      </w:r>
    </w:p>
    <w:p>
      <w:pPr/>
      <w:r>
        <w:rPr>
          <w:rFonts w:ascii="Arial" w:hAnsi="Arial" w:eastAsia="Arial" w:cs="Arial"/>
          <w:sz w:val="24"/>
          <w:szCs w:val="24"/>
        </w:rPr>
        <w:t xml:space="preserve">Centrifugal impeller made of galvanised steel, with forward curved blades.</w:t>
      </w:r>
    </w:p>
    <w:p>
      <w:pPr/>
      <w:r>
        <w:rPr>
          <w:rFonts w:ascii="Arial" w:hAnsi="Arial" w:eastAsia="Arial" w:cs="Arial"/>
          <w:sz w:val="24"/>
          <w:szCs w:val="24"/>
        </w:rPr>
        <w:t xml:space="preserve">Statically and dynamically balanced in accordance with DIN ISO 1940, balance quality 6.3.</w:t>
      </w:r>
    </w:p>
    <w:p/>
    <w:p>
      <w:pPr/>
      <w:r>
        <w:rPr>
          <w:rFonts w:ascii="Arial" w:hAnsi="Arial" w:eastAsia="Arial" w:cs="Arial"/>
          <w:sz w:val="24"/>
          <w:szCs w:val="24"/>
        </w:rPr>
        <w:t xml:space="preserve">Air flow direction</w:t>
      </w:r>
    </w:p>
    <w:p>
      <w:pPr/>
      <w:r>
        <w:rPr>
          <w:rFonts w:ascii="Arial" w:hAnsi="Arial" w:eastAsia="Arial" w:cs="Arial"/>
          <w:sz w:val="24"/>
          <w:szCs w:val="24"/>
        </w:rPr>
        <w:t xml:space="preserve">The airsteam direction is indicated by an arrow marked on the housing.</w:t>
      </w:r>
    </w:p>
    <w:p/>
    <w:p>
      <w:pPr/>
      <w:r>
        <w:rPr>
          <w:rFonts w:ascii="Arial" w:hAnsi="Arial" w:eastAsia="Arial" w:cs="Arial"/>
          <w:sz w:val="24"/>
          <w:szCs w:val="24"/>
        </w:rPr>
        <w:t xml:space="preserve">Motor</w:t>
      </w:r>
    </w:p>
    <w:p>
      <w:pPr/>
      <w:r>
        <w:rPr>
          <w:rFonts w:ascii="Arial" w:hAnsi="Arial" w:eastAsia="Arial" w:cs="Arial"/>
          <w:sz w:val="24"/>
          <w:szCs w:val="24"/>
        </w:rPr>
        <w:t xml:space="preserve">External rotor - capacitor motor.</w:t>
      </w:r>
    </w:p>
    <w:p>
      <w:pPr/>
      <w:r>
        <w:rPr>
          <w:rFonts w:ascii="Arial" w:hAnsi="Arial" w:eastAsia="Arial" w:cs="Arial"/>
          <w:sz w:val="24"/>
          <w:szCs w:val="24"/>
        </w:rPr>
        <w:t xml:space="preserve">Thermal overload protection as standard feature.</w:t>
      </w:r>
    </w:p>
    <w:p>
      <w:pPr/>
      <w:r>
        <w:rPr>
          <w:rFonts w:ascii="Arial" w:hAnsi="Arial" w:eastAsia="Arial" w:cs="Arial"/>
          <w:sz w:val="24"/>
          <w:szCs w:val="24"/>
        </w:rPr>
        <w:t xml:space="preserve">Robust motor with ball bearings, maintenance-free.</w:t>
      </w:r>
    </w:p>
    <w:p>
      <w:pPr/>
      <w:r>
        <w:rPr>
          <w:rFonts w:ascii="Arial" w:hAnsi="Arial" w:eastAsia="Arial" w:cs="Arial"/>
          <w:sz w:val="24"/>
          <w:szCs w:val="24"/>
        </w:rPr>
        <w:t xml:space="preserve">Temperature classes B or F.</w:t>
      </w:r>
    </w:p>
    <w:p>
      <w:pPr/>
      <w:r>
        <w:rPr>
          <w:rFonts w:ascii="Arial" w:hAnsi="Arial" w:eastAsia="Arial" w:cs="Arial"/>
          <w:sz w:val="24"/>
          <w:szCs w:val="24"/>
        </w:rPr>
        <w:t xml:space="preserve">IP 44 degree of protection for closed housing covers as well as duct connections fitted on the inlet and outlet sides.</w:t>
      </w:r>
    </w:p>
    <w:p>
      <w:pPr/>
      <w:r>
        <w:rPr>
          <w:rFonts w:ascii="Arial" w:hAnsi="Arial" w:eastAsia="Arial" w:cs="Arial"/>
          <w:sz w:val="24"/>
          <w:szCs w:val="24"/>
        </w:rPr>
        <w:t xml:space="preserve">There can be a physically induced humming noise, through the use of phase angle technology. 5-step transformers are therefore used for speed control in rooms requiring quiet fan operations.</w:t>
      </w:r>
    </w:p>
    <w:p/>
    <w:p>
      <w:pPr/>
      <w:r>
        <w:rPr>
          <w:rFonts w:ascii="Arial" w:hAnsi="Arial" w:eastAsia="Arial" w:cs="Arial"/>
          <w:sz w:val="24"/>
          <w:szCs w:val="24"/>
        </w:rPr>
        <w:t xml:space="preserve">Mounting instructions</w:t>
      </w:r>
    </w:p>
    <w:p>
      <w:pPr/>
      <w:r>
        <w:rPr>
          <w:rFonts w:ascii="Arial" w:hAnsi="Arial" w:eastAsia="Arial" w:cs="Arial"/>
          <w:sz w:val="24"/>
          <w:szCs w:val="24"/>
        </w:rPr>
        <w:t xml:space="preserve">Can be fitted in any position.</w:t>
      </w:r>
    </w:p>
    <w:p/>
    <w:p>
      <w:pPr/>
      <w:r>
        <w:rPr>
          <w:rFonts w:ascii="Arial" w:hAnsi="Arial" w:eastAsia="Arial" w:cs="Arial"/>
          <w:sz w:val="24"/>
          <w:szCs w:val="24"/>
        </w:rPr>
        <w:t xml:space="preserve">Electrical connection</w:t>
      </w:r>
    </w:p>
    <w:p>
      <w:pPr/>
      <w:r>
        <w:rPr>
          <w:rFonts w:ascii="Arial" w:hAnsi="Arial" w:eastAsia="Arial" w:cs="Arial"/>
          <w:sz w:val="24"/>
          <w:szCs w:val="24"/>
        </w:rPr>
        <w:t xml:space="preserve">Terminal box at front.</w:t>
      </w:r>
    </w:p>
    <w:p/>
    <w:p>
      <w:pPr/>
      <w:r>
        <w:rPr>
          <w:rFonts w:ascii="Arial" w:hAnsi="Arial" w:eastAsia="Arial" w:cs="Arial"/>
          <w:sz w:val="24"/>
          <w:szCs w:val="24"/>
        </w:rPr>
        <w:t xml:space="preserve">Safety instructions</w:t>
      </w:r>
    </w:p>
    <w:p>
      <w:pPr/>
      <w:r>
        <w:rPr>
          <w:rFonts w:ascii="Arial" w:hAnsi="Arial" w:eastAsia="Arial" w:cs="Arial"/>
          <w:sz w:val="24"/>
          <w:szCs w:val="24"/>
        </w:rPr>
        <w:t xml:space="preserve">The fan may be operated only if the protection against accidental contact with the impeller is guaranteed to be in accordance with DIN EN ISO 13857 for fans with free inlet or outlet. To do this, fit a protective grille.</w:t>
      </w:r>
    </w:p>
    <w:p/>
    <w:p>
      <w:pPr/>
      <w:r>
        <w:rPr>
          <w:rFonts w:ascii="Arial" w:hAnsi="Arial" w:eastAsia="Arial" w:cs="Arial"/>
          <w:sz w:val="24"/>
          <w:szCs w:val="24"/>
        </w:rPr>
        <w:t xml:space="preserve">Technical data</w:t>
      </w:r>
    </w:p>
    <w:tbl>
      <w:tblGrid>
        <w:gridCol w:w="3000" w:type="dxa"/>
        <w:gridCol w:w="3000" w:type="dxa"/>
      </w:tblGrid>
      <w:tr>
        <w:trPr/>
        <w:tc>
          <w:tcPr>
            <w:tcW w:w="3000" w:type="dxa"/>
          </w:tcPr>
          <w:p>
            <w:r>
              <w:rPr>
                <w:rFonts w:ascii="Arial" w:hAnsi="Arial" w:eastAsia="Arial" w:cs="Arial"/>
                <w:sz w:val="20"/>
                <w:szCs w:val="20"/>
              </w:rPr>
              <w:t xml:space="preserve">Article:</w:t>
            </w:r>
          </w:p>
        </w:tc>
        <w:tc>
          <w:tcPr>
            <w:tcW w:w="3000" w:type="dxa"/>
          </w:tcPr>
          <w:p>
            <w:pPr>
              <w:jc w:val="right"/>
              <w:spacing w:before="0" w:after="0.1"/>
            </w:pPr>
            <w:r>
              <w:rPr>
                <w:rFonts w:ascii="Arial" w:hAnsi="Arial" w:eastAsia="Arial" w:cs="Arial"/>
                <w:sz w:val="20"/>
                <w:szCs w:val="20"/>
              </w:rPr>
              <w:t xml:space="preserve">ESR 25-2</w:t>
            </w:r>
          </w:p>
        </w:tc>
      </w:tr>
      <w:tr>
        <w:trPr/>
        <w:tc>
          <w:tcPr>
            <w:tcW w:w="3000" w:type="dxa"/>
          </w:tcPr>
          <w:p>
            <w:r>
              <w:rPr>
                <w:rFonts w:ascii="Arial" w:hAnsi="Arial" w:eastAsia="Arial" w:cs="Arial"/>
                <w:sz w:val="20"/>
                <w:szCs w:val="20"/>
              </w:rPr>
              <w:t xml:space="preserve">Air flow volume:</w:t>
            </w:r>
          </w:p>
        </w:tc>
        <w:tc>
          <w:tcPr>
            <w:tcW w:w="3000" w:type="dxa"/>
          </w:tcPr>
          <w:p>
            <w:pPr>
              <w:jc w:val="right"/>
              <w:spacing w:before="0" w:after="0.1"/>
            </w:pPr>
            <w:r>
              <w:rPr>
                <w:rFonts w:ascii="Arial" w:hAnsi="Arial" w:eastAsia="Arial" w:cs="Arial"/>
                <w:sz w:val="20"/>
                <w:szCs w:val="20"/>
              </w:rPr>
              <w:t xml:space="preserve">1.100 m³/h</w:t>
            </w:r>
          </w:p>
        </w:tc>
      </w:tr>
      <w:tr>
        <w:trPr/>
        <w:tc>
          <w:tcPr>
            <w:tcW w:w="3000" w:type="dxa"/>
          </w:tcPr>
          <w:p>
            <w:r>
              <w:rPr>
                <w:rFonts w:ascii="Arial" w:hAnsi="Arial" w:eastAsia="Arial" w:cs="Arial"/>
                <w:sz w:val="20"/>
                <w:szCs w:val="20"/>
              </w:rPr>
              <w:t xml:space="preserve">Rotating speed:</w:t>
            </w:r>
          </w:p>
        </w:tc>
        <w:tc>
          <w:tcPr>
            <w:tcW w:w="3000" w:type="dxa"/>
          </w:tcPr>
          <w:p>
            <w:pPr>
              <w:jc w:val="right"/>
              <w:spacing w:before="0" w:after="0.1"/>
            </w:pPr>
            <w:r>
              <w:rPr>
                <w:rFonts w:ascii="Arial" w:hAnsi="Arial" w:eastAsia="Arial" w:cs="Arial"/>
                <w:sz w:val="20"/>
                <w:szCs w:val="20"/>
              </w:rPr>
              <w:t xml:space="preserve">1.840 1/min</w:t>
            </w:r>
          </w:p>
        </w:tc>
      </w:tr>
      <w:tr>
        <w:trPr/>
        <w:tc>
          <w:tcPr>
            <w:tcW w:w="3000" w:type="dxa"/>
          </w:tcPr>
          <w:p>
            <w:r>
              <w:rPr>
                <w:rFonts w:ascii="Arial" w:hAnsi="Arial" w:eastAsia="Arial" w:cs="Arial"/>
                <w:sz w:val="20"/>
                <w:szCs w:val="20"/>
              </w:rPr>
              <w:t xml:space="preserve">Speed controllable:</w:t>
            </w:r>
          </w:p>
        </w:tc>
        <w:tc>
          <w:tcPr>
            <w:tcW w:w="3000" w:type="dxa"/>
          </w:tcPr>
          <w:p>
            <w:pPr>
              <w:jc w:val="right"/>
              <w:spacing w:before="0" w:after="0.1"/>
            </w:pPr>
            <w:r>
              <w:rPr>
                <w:rFonts w:ascii="Arial" w:hAnsi="Arial" w:eastAsia="Arial" w:cs="Arial"/>
                <w:sz w:val="20"/>
                <w:szCs w:val="20"/>
              </w:rPr>
              <w:t xml:space="preserve"> ✔ </w:t>
            </w:r>
          </w:p>
        </w:tc>
      </w:tr>
      <w:tr>
        <w:trPr/>
        <w:tc>
          <w:tcPr>
            <w:tcW w:w="3000" w:type="dxa"/>
          </w:tcPr>
          <w:p>
            <w:r>
              <w:rPr>
                <w:rFonts w:ascii="Arial" w:hAnsi="Arial" w:eastAsia="Arial" w:cs="Arial"/>
                <w:sz w:val="20"/>
                <w:szCs w:val="20"/>
              </w:rPr>
              <w:t xml:space="preserve">Type of voltage:</w:t>
            </w:r>
          </w:p>
        </w:tc>
        <w:tc>
          <w:tcPr>
            <w:tcW w:w="3000" w:type="dxa"/>
          </w:tcPr>
          <w:p>
            <w:pPr>
              <w:jc w:val="right"/>
              <w:spacing w:before="0" w:after="0.1"/>
            </w:pPr>
            <w:r>
              <w:rPr>
                <w:rFonts w:ascii="Arial" w:hAnsi="Arial" w:eastAsia="Arial" w:cs="Arial"/>
                <w:sz w:val="20"/>
                <w:szCs w:val="20"/>
              </w:rPr>
              <w:t xml:space="preserve">Alternating current</w:t>
            </w:r>
          </w:p>
        </w:tc>
      </w:tr>
      <w:tr>
        <w:trPr/>
        <w:tc>
          <w:tcPr>
            <w:tcW w:w="3000" w:type="dxa"/>
          </w:tcPr>
          <w:p>
            <w:r>
              <w:rPr>
                <w:rFonts w:ascii="Arial" w:hAnsi="Arial" w:eastAsia="Arial" w:cs="Arial"/>
                <w:sz w:val="20"/>
                <w:szCs w:val="20"/>
              </w:rPr>
              <w:t xml:space="preserve">Rated voltage:</w:t>
            </w:r>
          </w:p>
        </w:tc>
        <w:tc>
          <w:tcPr>
            <w:tcW w:w="3000" w:type="dxa"/>
          </w:tcPr>
          <w:p>
            <w:pPr>
              <w:jc w:val="right"/>
              <w:spacing w:before="0" w:after="0.1"/>
            </w:pPr>
            <w:r>
              <w:rPr>
                <w:rFonts w:ascii="Arial" w:hAnsi="Arial" w:eastAsia="Arial" w:cs="Arial"/>
                <w:sz w:val="20"/>
                <w:szCs w:val="20"/>
              </w:rPr>
              <w:t xml:space="preserve">230 V</w:t>
            </w:r>
          </w:p>
        </w:tc>
      </w:tr>
      <w:tr>
        <w:trPr/>
        <w:tc>
          <w:tcPr>
            <w:tcW w:w="3000" w:type="dxa"/>
          </w:tcPr>
          <w:p>
            <w:r>
              <w:rPr>
                <w:rFonts w:ascii="Arial" w:hAnsi="Arial" w:eastAsia="Arial" w:cs="Arial"/>
                <w:sz w:val="20"/>
                <w:szCs w:val="20"/>
              </w:rPr>
              <w:t xml:space="preserve">Nominal output:</w:t>
            </w:r>
          </w:p>
        </w:tc>
        <w:tc>
          <w:tcPr>
            <w:tcW w:w="3000" w:type="dxa"/>
          </w:tcPr>
          <w:p>
            <w:pPr>
              <w:jc w:val="right"/>
              <w:spacing w:before="0" w:after="0.1"/>
            </w:pPr>
            <w:r>
              <w:rPr>
                <w:rFonts w:ascii="Arial" w:hAnsi="Arial" w:eastAsia="Arial" w:cs="Arial"/>
                <w:sz w:val="20"/>
                <w:szCs w:val="20"/>
              </w:rPr>
              <w:t xml:space="preserve">290 W</w:t>
            </w:r>
          </w:p>
        </w:tc>
      </w:tr>
      <w:tr>
        <w:trPr/>
        <w:tc>
          <w:tcPr>
            <w:tcW w:w="3000" w:type="dxa"/>
          </w:tcPr>
          <w:p>
            <w:r>
              <w:rPr>
                <w:rFonts w:ascii="Arial" w:hAnsi="Arial" w:eastAsia="Arial" w:cs="Arial"/>
                <w:sz w:val="20"/>
                <w:szCs w:val="20"/>
              </w:rPr>
              <w:t xml:space="preserve">I</w:t>
            </w:r>
            <w:r>
              <w:rPr>
                <w:rFonts w:ascii="Arial" w:hAnsi="Arial" w:eastAsia="Arial" w:cs="Arial"/>
                <w:sz w:val="20"/>
                <w:szCs w:val="20"/>
                <w:vertAlign w:val="subscript"/>
              </w:rPr>
              <w:t xml:space="preserve">nom</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0,9 A</w:t>
            </w:r>
          </w:p>
        </w:tc>
      </w:tr>
      <w:tr>
        <w:trPr/>
        <w:tc>
          <w:tcPr>
            <w:tcW w:w="3000" w:type="dxa"/>
          </w:tcPr>
          <w:p>
            <w:r>
              <w:rPr>
                <w:rFonts w:ascii="Arial" w:hAnsi="Arial" w:eastAsia="Arial" w:cs="Arial"/>
                <w:sz w:val="20"/>
                <w:szCs w:val="20"/>
              </w:rPr>
              <w:t xml:space="preserve">I</w:t>
            </w:r>
            <w:r>
              <w:rPr>
                <w:rFonts w:ascii="Arial" w:hAnsi="Arial" w:eastAsia="Arial" w:cs="Arial"/>
                <w:sz w:val="20"/>
                <w:szCs w:val="20"/>
                <w:vertAlign w:val="subscript"/>
              </w:rPr>
              <w:t xml:space="preserve">max</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1,3 A</w:t>
            </w:r>
          </w:p>
        </w:tc>
      </w:tr>
      <w:tr>
        <w:trPr/>
        <w:tc>
          <w:tcPr>
            <w:tcW w:w="3000" w:type="dxa"/>
          </w:tcPr>
          <w:p>
            <w:r>
              <w:rPr>
                <w:rFonts w:ascii="Arial" w:hAnsi="Arial" w:eastAsia="Arial" w:cs="Arial"/>
                <w:sz w:val="20"/>
                <w:szCs w:val="20"/>
              </w:rPr>
              <w:t xml:space="preserve">Degree of protection:</w:t>
            </w:r>
          </w:p>
        </w:tc>
        <w:tc>
          <w:tcPr>
            <w:tcW w:w="3000" w:type="dxa"/>
          </w:tcPr>
          <w:p>
            <w:pPr>
              <w:jc w:val="right"/>
              <w:spacing w:before="0" w:after="0.1"/>
            </w:pPr>
            <w:r>
              <w:rPr>
                <w:rFonts w:ascii="Arial" w:hAnsi="Arial" w:eastAsia="Arial" w:cs="Arial"/>
                <w:sz w:val="20"/>
                <w:szCs w:val="20"/>
              </w:rPr>
              <w:t xml:space="preserve">IP X4</w:t>
            </w:r>
          </w:p>
        </w:tc>
      </w:tr>
      <w:tr>
        <w:trPr/>
        <w:tc>
          <w:tcPr>
            <w:tcW w:w="3000" w:type="dxa"/>
          </w:tcPr>
          <w:p>
            <w:r>
              <w:rPr>
                <w:rFonts w:ascii="Arial" w:hAnsi="Arial" w:eastAsia="Arial" w:cs="Arial"/>
                <w:sz w:val="20"/>
                <w:szCs w:val="20"/>
              </w:rPr>
              <w:t xml:space="preserve">Insulation class:</w:t>
            </w:r>
          </w:p>
        </w:tc>
        <w:tc>
          <w:tcPr>
            <w:tcW w:w="3000" w:type="dxa"/>
          </w:tcPr>
          <w:p>
            <w:pPr>
              <w:jc w:val="right"/>
              <w:spacing w:before="0" w:after="0.1"/>
            </w:pPr>
            <w:r>
              <w:rPr>
                <w:rFonts w:ascii="Arial" w:hAnsi="Arial" w:eastAsia="Arial" w:cs="Arial"/>
                <w:sz w:val="20"/>
                <w:szCs w:val="20"/>
              </w:rPr>
              <w:t xml:space="preserve">F</w:t>
            </w:r>
          </w:p>
        </w:tc>
      </w:tr>
      <w:tr>
        <w:trPr/>
        <w:tc>
          <w:tcPr>
            <w:tcW w:w="3000" w:type="dxa"/>
          </w:tcPr>
          <w:p>
            <w:r>
              <w:rPr>
                <w:rFonts w:ascii="Arial" w:hAnsi="Arial" w:eastAsia="Arial" w:cs="Arial"/>
                <w:sz w:val="20"/>
                <w:szCs w:val="20"/>
              </w:rPr>
              <w:t xml:space="preserve">Housing material:</w:t>
            </w:r>
          </w:p>
        </w:tc>
        <w:tc>
          <w:tcPr>
            <w:tcW w:w="3000" w:type="dxa"/>
          </w:tcPr>
          <w:p>
            <w:pPr>
              <w:jc w:val="right"/>
              <w:spacing w:before="0" w:after="0.1"/>
            </w:pPr>
            <w:r>
              <w:rPr>
                <w:rFonts w:ascii="Arial" w:hAnsi="Arial" w:eastAsia="Arial" w:cs="Arial"/>
                <w:sz w:val="20"/>
                <w:szCs w:val="20"/>
              </w:rPr>
              <w:t xml:space="preserve">Sheet steel, galvanised</w:t>
            </w:r>
          </w:p>
        </w:tc>
      </w:tr>
      <w:tr>
        <w:trPr/>
        <w:tc>
          <w:tcPr>
            <w:tcW w:w="3000" w:type="dxa"/>
          </w:tcPr>
          <w:p>
            <w:r>
              <w:rPr>
                <w:rFonts w:ascii="Arial" w:hAnsi="Arial" w:eastAsia="Arial" w:cs="Arial"/>
                <w:sz w:val="20"/>
                <w:szCs w:val="20"/>
              </w:rPr>
              <w:t xml:space="preserve">Weight:</w:t>
            </w:r>
          </w:p>
        </w:tc>
        <w:tc>
          <w:tcPr>
            <w:tcW w:w="3000" w:type="dxa"/>
          </w:tcPr>
          <w:p>
            <w:pPr>
              <w:jc w:val="right"/>
              <w:spacing w:before="0" w:after="0.1"/>
            </w:pPr>
            <w:r>
              <w:rPr>
                <w:rFonts w:ascii="Arial" w:hAnsi="Arial" w:eastAsia="Arial" w:cs="Arial"/>
                <w:sz w:val="20"/>
                <w:szCs w:val="20"/>
              </w:rPr>
              <w:t xml:space="preserve">16,9 kg</w:t>
            </w:r>
          </w:p>
        </w:tc>
      </w:tr>
      <w:tr>
        <w:trPr/>
        <w:tc>
          <w:tcPr>
            <w:tcW w:w="3000" w:type="dxa"/>
          </w:tcPr>
          <w:p>
            <w:r>
              <w:rPr>
                <w:rFonts w:ascii="Arial" w:hAnsi="Arial" w:eastAsia="Arial" w:cs="Arial"/>
                <w:sz w:val="20"/>
                <w:szCs w:val="20"/>
              </w:rPr>
              <w:t xml:space="preserve">Weight including packaging:</w:t>
            </w:r>
          </w:p>
        </w:tc>
        <w:tc>
          <w:tcPr>
            <w:tcW w:w="3000" w:type="dxa"/>
          </w:tcPr>
          <w:p>
            <w:pPr>
              <w:jc w:val="right"/>
              <w:spacing w:before="0" w:after="0.1"/>
            </w:pPr>
            <w:r>
              <w:rPr>
                <w:rFonts w:ascii="Arial" w:hAnsi="Arial" w:eastAsia="Arial" w:cs="Arial"/>
                <w:sz w:val="20"/>
                <w:szCs w:val="20"/>
              </w:rPr>
              <w:t xml:space="preserve">18,96 kg</w:t>
            </w:r>
          </w:p>
        </w:tc>
      </w:tr>
      <w:tr>
        <w:trPr/>
        <w:tc>
          <w:tcPr>
            <w:tcW w:w="3000" w:type="dxa"/>
          </w:tcPr>
          <w:p>
            <w:r>
              <w:rPr>
                <w:rFonts w:ascii="Arial" w:hAnsi="Arial" w:eastAsia="Arial" w:cs="Arial"/>
                <w:sz w:val="20"/>
                <w:szCs w:val="20"/>
              </w:rPr>
              <w:t xml:space="preserve">Nominal size:</w:t>
            </w:r>
          </w:p>
        </w:tc>
        <w:tc>
          <w:tcPr>
            <w:tcW w:w="3000" w:type="dxa"/>
          </w:tcPr>
          <w:p>
            <w:pPr>
              <w:jc w:val="right"/>
              <w:spacing w:before="0" w:after="0.1"/>
            </w:pPr>
            <w:r>
              <w:rPr>
                <w:rFonts w:ascii="Arial" w:hAnsi="Arial" w:eastAsia="Arial" w:cs="Arial"/>
                <w:sz w:val="20"/>
                <w:szCs w:val="20"/>
              </w:rPr>
              <w:t xml:space="preserve">250 mm</w:t>
            </w:r>
          </w:p>
        </w:tc>
      </w:tr>
      <w:tr>
        <w:trPr/>
        <w:tc>
          <w:tcPr>
            <w:tcW w:w="3000" w:type="dxa"/>
          </w:tcPr>
          <w:p>
            <w:r>
              <w:rPr>
                <w:rFonts w:ascii="Arial" w:hAnsi="Arial" w:eastAsia="Arial" w:cs="Arial"/>
                <w:sz w:val="20"/>
                <w:szCs w:val="20"/>
              </w:rPr>
              <w:t xml:space="preserve">Width with packaging:</w:t>
            </w:r>
          </w:p>
        </w:tc>
        <w:tc>
          <w:tcPr>
            <w:tcW w:w="3000" w:type="dxa"/>
          </w:tcPr>
          <w:p>
            <w:pPr>
              <w:jc w:val="right"/>
              <w:spacing w:before="0" w:after="0.1"/>
            </w:pPr>
            <w:r>
              <w:rPr>
                <w:rFonts w:ascii="Arial" w:hAnsi="Arial" w:eastAsia="Arial" w:cs="Arial"/>
                <w:sz w:val="20"/>
                <w:szCs w:val="20"/>
              </w:rPr>
              <w:t xml:space="preserve">640 mm</w:t>
            </w:r>
          </w:p>
        </w:tc>
      </w:tr>
      <w:tr>
        <w:trPr/>
        <w:tc>
          <w:tcPr>
            <w:tcW w:w="3000" w:type="dxa"/>
          </w:tcPr>
          <w:p>
            <w:r>
              <w:rPr>
                <w:rFonts w:ascii="Arial" w:hAnsi="Arial" w:eastAsia="Arial" w:cs="Arial"/>
                <w:sz w:val="20"/>
                <w:szCs w:val="20"/>
              </w:rPr>
              <w:t xml:space="preserve">Height with packaging:</w:t>
            </w:r>
          </w:p>
        </w:tc>
        <w:tc>
          <w:tcPr>
            <w:tcW w:w="3000" w:type="dxa"/>
          </w:tcPr>
          <w:p>
            <w:pPr>
              <w:jc w:val="right"/>
              <w:spacing w:before="0" w:after="0.1"/>
            </w:pPr>
            <w:r>
              <w:rPr>
                <w:rFonts w:ascii="Arial" w:hAnsi="Arial" w:eastAsia="Arial" w:cs="Arial"/>
                <w:sz w:val="20"/>
                <w:szCs w:val="20"/>
              </w:rPr>
              <w:t xml:space="preserve">315 mm</w:t>
            </w:r>
          </w:p>
        </w:tc>
      </w:tr>
      <w:tr>
        <w:trPr/>
        <w:tc>
          <w:tcPr>
            <w:tcW w:w="3000" w:type="dxa"/>
          </w:tcPr>
          <w:p>
            <w:r>
              <w:rPr>
                <w:rFonts w:ascii="Arial" w:hAnsi="Arial" w:eastAsia="Arial" w:cs="Arial"/>
                <w:sz w:val="20"/>
                <w:szCs w:val="20"/>
              </w:rPr>
              <w:t xml:space="preserve">Depth with packaging:</w:t>
            </w:r>
          </w:p>
        </w:tc>
        <w:tc>
          <w:tcPr>
            <w:tcW w:w="3000" w:type="dxa"/>
          </w:tcPr>
          <w:p>
            <w:pPr>
              <w:jc w:val="right"/>
              <w:spacing w:before="0" w:after="0.1"/>
            </w:pPr>
            <w:r>
              <w:rPr>
                <w:rFonts w:ascii="Arial" w:hAnsi="Arial" w:eastAsia="Arial" w:cs="Arial"/>
                <w:sz w:val="20"/>
                <w:szCs w:val="20"/>
              </w:rPr>
              <w:t xml:space="preserve">500 mm</w:t>
            </w:r>
          </w:p>
        </w:tc>
      </w:tr>
      <w:tr>
        <w:trPr/>
        <w:tc>
          <w:tcPr>
            <w:tcW w:w="3000" w:type="dxa"/>
          </w:tcPr>
          <w:p>
            <w:r>
              <w:rPr>
                <w:rFonts w:ascii="Arial" w:hAnsi="Arial" w:eastAsia="Arial" w:cs="Arial"/>
                <w:sz w:val="20"/>
                <w:szCs w:val="20"/>
              </w:rPr>
              <w:t xml:space="preserve">Airstream temperature at nominal current:</w:t>
            </w:r>
          </w:p>
        </w:tc>
        <w:tc>
          <w:tcPr>
            <w:tcW w:w="3000" w:type="dxa"/>
          </w:tcPr>
          <w:p>
            <w:pPr>
              <w:jc w:val="right"/>
              <w:spacing w:before="0" w:after="0.1"/>
            </w:pPr>
            <w:r>
              <w:rPr>
                <w:rFonts w:ascii="Arial" w:hAnsi="Arial" w:eastAsia="Arial" w:cs="Arial"/>
                <w:sz w:val="20"/>
                <w:szCs w:val="20"/>
              </w:rPr>
              <w:t xml:space="preserve">-20 °C up to 50 °C</w:t>
            </w:r>
          </w:p>
        </w:tc>
      </w:tr>
      <w:tr>
        <w:trPr/>
        <w:tc>
          <w:tcPr>
            <w:tcW w:w="3000" w:type="dxa"/>
          </w:tcPr>
          <w:p>
            <w:r>
              <w:rPr>
                <w:rFonts w:ascii="Arial" w:hAnsi="Arial" w:eastAsia="Arial" w:cs="Arial"/>
                <w:sz w:val="20"/>
                <w:szCs w:val="20"/>
              </w:rPr>
              <w:t xml:space="preserve">Airstream temperature at I</w:t>
            </w:r>
            <w:r>
              <w:rPr>
                <w:rFonts w:ascii="Arial" w:hAnsi="Arial" w:eastAsia="Arial" w:cs="Arial"/>
                <w:sz w:val="20"/>
                <w:szCs w:val="20"/>
                <w:vertAlign w:val="subscript"/>
              </w:rPr>
              <w:t xml:space="preserve">Max</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-20 °C up to 50 °C</w:t>
            </w:r>
          </w:p>
        </w:tc>
      </w:tr>
      <w:tr>
        <w:trPr/>
        <w:tc>
          <w:tcPr>
            <w:tcW w:w="3000" w:type="dxa"/>
          </w:tcPr>
          <w:p>
            <w:r>
              <w:rPr>
                <w:rFonts w:ascii="Arial" w:hAnsi="Arial" w:eastAsia="Arial" w:cs="Arial"/>
                <w:sz w:val="20"/>
                <w:szCs w:val="20"/>
              </w:rPr>
              <w:t xml:space="preserve">Packing unit:</w:t>
            </w:r>
          </w:p>
        </w:tc>
        <w:tc>
          <w:tcPr>
            <w:tcW w:w="3000" w:type="dxa"/>
          </w:tcPr>
          <w:p>
            <w:pPr>
              <w:jc w:val="right"/>
              <w:spacing w:before="0" w:after="0.1"/>
            </w:pPr>
            <w:r>
              <w:rPr>
                <w:rFonts w:ascii="Arial" w:hAnsi="Arial" w:eastAsia="Arial" w:cs="Arial"/>
                <w:sz w:val="20"/>
                <w:szCs w:val="20"/>
              </w:rPr>
              <w:t xml:space="preserve">1 piece</w:t>
            </w:r>
          </w:p>
        </w:tc>
      </w:tr>
      <w:tr>
        <w:trPr/>
        <w:tc>
          <w:tcPr>
            <w:tcW w:w="3000" w:type="dxa"/>
          </w:tcPr>
          <w:p>
            <w:r>
              <w:rPr>
                <w:rFonts w:ascii="Arial" w:hAnsi="Arial" w:eastAsia="Arial" w:cs="Arial"/>
                <w:sz w:val="20"/>
                <w:szCs w:val="20"/>
              </w:rPr>
              <w:t xml:space="preserve">Range:</w:t>
            </w:r>
          </w:p>
        </w:tc>
        <w:tc>
          <w:tcPr>
            <w:tcW w:w="3000" w:type="dxa"/>
          </w:tcPr>
          <w:p>
            <w:pPr>
              <w:jc w:val="right"/>
              <w:spacing w:before="0" w:after="0.1"/>
            </w:pPr>
            <w:r>
              <w:rPr>
                <w:rFonts w:ascii="Arial" w:hAnsi="Arial" w:eastAsia="Arial" w:cs="Arial"/>
                <w:sz w:val="20"/>
                <w:szCs w:val="20"/>
              </w:rPr>
              <w:t xml:space="preserve">C</w:t>
            </w:r>
          </w:p>
        </w:tc>
      </w:tr>
      <w:tr>
        <w:trPr/>
        <w:tc>
          <w:tcPr>
            <w:tcW w:w="3000" w:type="dxa"/>
          </w:tcPr>
          <w:p>
            <w:r>
              <w:rPr>
                <w:rFonts w:ascii="Arial" w:hAnsi="Arial" w:eastAsia="Arial" w:cs="Arial"/>
                <w:sz w:val="20"/>
                <w:szCs w:val="20"/>
              </w:rPr>
              <w:t xml:space="preserve">GTIN (EAN):</w:t>
            </w:r>
          </w:p>
        </w:tc>
        <w:tc>
          <w:tcPr>
            <w:tcW w:w="3000" w:type="dxa"/>
          </w:tcPr>
          <w:p>
            <w:pPr>
              <w:jc w:val="right"/>
              <w:spacing w:before="0" w:after="0.1"/>
            </w:pPr>
            <w:r>
              <w:rPr>
                <w:rFonts w:ascii="Arial" w:hAnsi="Arial" w:eastAsia="Arial" w:cs="Arial"/>
                <w:sz w:val="20"/>
                <w:szCs w:val="20"/>
              </w:rPr>
              <w:t xml:space="preserve">4012799806134</w:t>
            </w:r>
          </w:p>
        </w:tc>
      </w:tr>
      <w:tr>
        <w:trPr/>
        <w:tc>
          <w:tcPr>
            <w:tcW w:w="3000" w:type="dxa"/>
          </w:tcPr>
          <w:p>
            <w:r>
              <w:rPr>
                <w:rFonts w:ascii="Arial" w:hAnsi="Arial" w:eastAsia="Arial" w:cs="Arial"/>
                <w:sz w:val="20"/>
                <w:szCs w:val="20"/>
              </w:rPr>
              <w:t xml:space="preserve">Article number:</w:t>
            </w:r>
          </w:p>
        </w:tc>
        <w:tc>
          <w:tcPr>
            <w:tcW w:w="3000" w:type="dxa"/>
          </w:tcPr>
          <w:p>
            <w:pPr>
              <w:jc w:val="right"/>
              <w:spacing w:before="0" w:after="0.1"/>
            </w:pPr>
            <w:r>
              <w:rPr>
                <w:rFonts w:ascii="Arial" w:hAnsi="Arial" w:eastAsia="Arial" w:cs="Arial"/>
                <w:sz w:val="20"/>
                <w:szCs w:val="20"/>
              </w:rPr>
              <w:t xml:space="preserve">0080.0613</w:t>
            </w:r>
          </w:p>
        </w:tc>
      </w:tr>
    </w:tbl>
    <w:p>
      <w:pPr/>
      <w:r>
        <w:rPr>
          <w:rFonts w:ascii="Arial" w:hAnsi="Arial" w:eastAsia="Arial" w:cs="Arial"/>
          <w:sz w:val="24"/>
          <w:szCs w:val="24"/>
        </w:rPr>
        <w:t xml:space="preserve">Manufacturer: MAICO</w:t>
      </w:r>
    </w:p>
    <w:p>
      <w:pPr/>
      <w:r>
        <w:rPr>
          <w:rFonts w:ascii="Arial" w:hAnsi="Arial" w:eastAsia="Arial" w:cs="Arial"/>
          <w:sz w:val="24"/>
          <w:szCs w:val="24"/>
        </w:rPr>
        <w:t xml:space="preserve">ESR 25-2 Sound-insulated ventilation box</w:t>
      </w:r>
    </w:p>
    <w:sectPr>
      <w:pgSz w:orient="portrait" w:w="11870" w:h="16787"/>
      <w:pgMar w:top="852" w:right="852" w:bottom="852" w:left="1278"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2024-09-02T07:47:12+00:00</dcterms:created>
  <dcterms:modified xsi:type="dcterms:W3CDTF">2024-09-02T07:47:12+00:00</dcterms:modified>
</cp:coreProperties>
</file>

<file path=docProps/custom.xml><?xml version="1.0" encoding="utf-8"?>
<Properties xmlns="http://schemas.openxmlformats.org/officeDocument/2006/custom-properties" xmlns:vt="http://schemas.openxmlformats.org/officeDocument/2006/docPropsVTypes"/>
</file>