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Axial duct fan DZR 60/6 B Ex e</w:t>
      </w:r>
    </w:p>
    <w:p>
      <w:pPr/>
      <w:r>
        <w:rPr>
          <w:rFonts w:ascii="Arial" w:hAnsi="Arial" w:eastAsia="Arial" w:cs="Arial"/>
          <w:sz w:val="24"/>
          <w:szCs w:val="24"/>
        </w:rPr>
        <w:t xml:space="preserve">Product model</w:t>
      </w:r>
    </w:p>
    <w:p>
      <w:pPr/>
      <w:r>
        <w:rPr>
          <w:rFonts w:ascii="Arial" w:hAnsi="Arial" w:eastAsia="Arial" w:cs="Arial"/>
          <w:sz w:val="24"/>
          <w:szCs w:val="24"/>
        </w:rPr>
        <w:t xml:space="preserve">For usage temperatures of -20°C ≤ Ta ≤ +60°C.</w:t>
      </w:r>
    </w:p>
    <w:p/>
    <w:p>
      <w:pPr/>
      <w:r>
        <w:rPr>
          <w:rFonts w:ascii="Arial" w:hAnsi="Arial" w:eastAsia="Arial" w:cs="Arial"/>
          <w:sz w:val="24"/>
          <w:szCs w:val="24"/>
        </w:rPr>
        <w:t xml:space="preserve">Special features</w:t>
      </w:r>
    </w:p>
    <w:p>
      <w:pPr/>
      <w:r>
        <w:rPr>
          <w:rFonts w:ascii="Arial" w:hAnsi="Arial" w:eastAsia="Arial" w:cs="Arial"/>
          <w:sz w:val="24"/>
          <w:szCs w:val="24"/>
        </w:rPr>
        <w:t xml:space="preserve">Axial duct fan, explosion-proof, medium: gas.</w:t>
      </w:r>
    </w:p>
    <w:p>
      <w:pPr/>
      <w:r>
        <w:rPr>
          <w:rFonts w:ascii="Arial" w:hAnsi="Arial" w:eastAsia="Arial" w:cs="Arial"/>
          <w:sz w:val="24"/>
          <w:szCs w:val="24"/>
        </w:rPr>
        <w:t xml:space="preserve">Explosion protection and approvals in accordance with ATEX and IECEx.</w:t>
      </w:r>
    </w:p>
    <w:p>
      <w:pPr/>
      <w:r>
        <w:rPr>
          <w:rFonts w:ascii="Arial" w:hAnsi="Arial" w:eastAsia="Arial" w:cs="Arial"/>
          <w:sz w:val="24"/>
          <w:szCs w:val="24"/>
        </w:rPr>
        <w:t xml:space="preserve">Ex II 2 G Ex eb IIB + H2 T3/T4 Gb / Ex II 2 G Ex h IIB + H2 T3/T4 Gb.</w:t>
      </w:r>
    </w:p>
    <w:p>
      <w:pPr/>
      <w:r>
        <w:rPr>
          <w:rFonts w:ascii="Arial" w:hAnsi="Arial" w:eastAsia="Arial" w:cs="Arial"/>
          <w:sz w:val="24"/>
          <w:szCs w:val="24"/>
        </w:rPr>
        <w:t xml:space="preserve">Operating temperatures depend on temperature class: T3 -20 °C ≤ Ta ≤ +60 °C, T4 -20 °C ≤ Ta ≤ +40 °C.</w:t>
      </w:r>
    </w:p>
    <w:p>
      <w:pPr/>
      <w:r>
        <w:rPr>
          <w:rFonts w:ascii="Arial" w:hAnsi="Arial" w:eastAsia="Arial" w:cs="Arial"/>
          <w:sz w:val="24"/>
          <w:szCs w:val="24"/>
        </w:rPr>
        <w:t xml:space="preserve">Qualified for all gases and vapours of Ex group IIA and IIB and also for hydrogen.</w:t>
      </w:r>
    </w:p>
    <w:p>
      <w:pPr/>
      <w:r>
        <w:rPr>
          <w:rFonts w:ascii="Arial" w:hAnsi="Arial" w:eastAsia="Arial" w:cs="Arial"/>
          <w:sz w:val="24"/>
          <w:szCs w:val="24"/>
        </w:rPr>
        <w:t xml:space="preserve">MAICO Ex fans fulfil the safety requirements of European Directive 2014/34/EU for units and protective systems in potentially explosive atmospheres.</w:t>
      </w:r>
    </w:p>
    <w:p>
      <w:pPr/>
      <w:r>
        <w:rPr>
          <w:rFonts w:ascii="Arial" w:hAnsi="Arial" w:eastAsia="Arial" w:cs="Arial"/>
          <w:sz w:val="24"/>
          <w:szCs w:val="24"/>
        </w:rPr>
        <w:t xml:space="preserve">For zone 1 and 2.</w:t>
      </w:r>
    </w:p>
    <w:p>
      <w:pPr/>
      <w:r>
        <w:rPr>
          <w:rFonts w:ascii="Arial" w:hAnsi="Arial" w:eastAsia="Arial" w:cs="Arial"/>
          <w:sz w:val="24"/>
          <w:szCs w:val="24"/>
        </w:rPr>
        <w:t xml:space="preserve">Types of ignition protection: “e”- increased safety and “c”- constructional safety.</w:t>
      </w:r>
    </w:p>
    <w:p>
      <w:pPr/>
      <w:r>
        <w:rPr>
          <w:rFonts w:ascii="Arial" w:hAnsi="Arial" w:eastAsia="Arial" w:cs="Arial"/>
          <w:sz w:val="24"/>
          <w:szCs w:val="24"/>
        </w:rPr>
        <w:t xml:space="preserve">IP 64 degree of protection.</w:t>
      </w:r>
    </w:p>
    <w:p>
      <w:pPr/>
      <w:r>
        <w:rPr>
          <w:rFonts w:ascii="Arial" w:hAnsi="Arial" w:eastAsia="Arial" w:cs="Arial"/>
          <w:sz w:val="24"/>
          <w:szCs w:val="24"/>
        </w:rPr>
        <w:t xml:space="preserve">Can be switched to ventilation or air extraction.</w:t>
      </w:r>
    </w:p>
    <w:p>
      <w:pPr/>
      <w:r>
        <w:rPr>
          <w:rFonts w:ascii="Arial" w:hAnsi="Arial" w:eastAsia="Arial" w:cs="Arial"/>
          <w:sz w:val="24"/>
          <w:szCs w:val="24"/>
        </w:rPr>
        <w:t xml:space="preserve">Duct sleeve made of galvanised sheet steel, with flange on both sides – hole pattern according to DIN 24155.</w:t>
      </w:r>
    </w:p>
    <w:p>
      <w:pPr/>
      <w:r>
        <w:rPr>
          <w:rFonts w:ascii="Arial" w:hAnsi="Arial" w:eastAsia="Arial" w:cs="Arial"/>
          <w:sz w:val="24"/>
          <w:szCs w:val="24"/>
        </w:rPr>
        <w:t xml:space="preserve">For easy and direct installation in a duct system.</w:t>
      </w:r>
    </w:p>
    <w:p>
      <w:pPr/>
      <w:r>
        <w:rPr>
          <w:rFonts w:ascii="Arial" w:hAnsi="Arial" w:eastAsia="Arial" w:cs="Arial"/>
          <w:sz w:val="24"/>
          <w:szCs w:val="24"/>
        </w:rPr>
        <w:t xml:space="preserve">Can be fitted in any position.</w:t>
      </w:r>
    </w:p>
    <w:p/>
    <w:p>
      <w:pPr/>
      <w:r>
        <w:rPr>
          <w:rFonts w:ascii="Arial" w:hAnsi="Arial" w:eastAsia="Arial" w:cs="Arial"/>
          <w:sz w:val="24"/>
          <w:szCs w:val="24"/>
        </w:rPr>
        <w:t xml:space="preserve">Impeller</w:t>
      </w:r>
    </w:p>
    <w:p>
      <w:pPr/>
      <w:r>
        <w:rPr>
          <w:rFonts w:ascii="Arial" w:hAnsi="Arial" w:eastAsia="Arial" w:cs="Arial"/>
          <w:sz w:val="24"/>
          <w:szCs w:val="24"/>
        </w:rPr>
        <w:t xml:space="preserve">Axial impeller made of conductive plastic.</w:t>
      </w:r>
    </w:p>
    <w:p>
      <w:pPr/>
      <w:r>
        <w:rPr>
          <w:rFonts w:ascii="Arial" w:hAnsi="Arial" w:eastAsia="Arial" w:cs="Arial"/>
          <w:sz w:val="24"/>
          <w:szCs w:val="24"/>
        </w:rPr>
        <w:t xml:space="preserve">Balance quality of the motor/impeller combination G 6.3 according to category BV-3 in accordance with ISO 14694.</w:t>
      </w:r>
    </w:p>
    <w:p/>
    <w:p>
      <w:pPr/>
      <w:r>
        <w:rPr>
          <w:rFonts w:ascii="Arial" w:hAnsi="Arial" w:eastAsia="Arial" w:cs="Arial"/>
          <w:sz w:val="24"/>
          <w:szCs w:val="24"/>
        </w:rPr>
        <w:t xml:space="preserve">Air flow direction</w:t>
      </w:r>
    </w:p>
    <w:p>
      <w:pPr/>
      <w:r>
        <w:rPr>
          <w:rFonts w:ascii="Arial" w:hAnsi="Arial" w:eastAsia="Arial" w:cs="Arial"/>
          <w:sz w:val="24"/>
          <w:szCs w:val="24"/>
        </w:rPr>
        <w:t xml:space="preserve">The air flow direction is marked.</w:t>
      </w:r>
    </w:p>
    <w:p>
      <w:pPr/>
      <w:r>
        <w:rPr>
          <w:rFonts w:ascii="Arial" w:hAnsi="Arial" w:eastAsia="Arial" w:cs="Arial"/>
          <w:sz w:val="24"/>
          <w:szCs w:val="24"/>
        </w:rPr>
        <w:t xml:space="preserve">Standard exhaust air mode, air flow direction with air drawn across motor.</w:t>
      </w:r>
    </w:p>
    <w:p/>
    <w:p>
      <w:pPr/>
      <w:r>
        <w:rPr>
          <w:rFonts w:ascii="Arial" w:hAnsi="Arial" w:eastAsia="Arial" w:cs="Arial"/>
          <w:sz w:val="24"/>
          <w:szCs w:val="24"/>
        </w:rPr>
        <w:t xml:space="preserve">Motor</w:t>
      </w:r>
    </w:p>
    <w:p>
      <w:pPr/>
      <w:r>
        <w:rPr>
          <w:rFonts w:ascii="Arial" w:hAnsi="Arial" w:eastAsia="Arial" w:cs="Arial"/>
          <w:sz w:val="24"/>
          <w:szCs w:val="24"/>
        </w:rPr>
        <w:t xml:space="preserve">Robust three-phase AC motor with ball bearings, maintenance-free.</w:t>
      </w:r>
    </w:p>
    <w:p>
      <w:pPr/>
      <w:r>
        <w:rPr>
          <w:rFonts w:ascii="Arial" w:hAnsi="Arial" w:eastAsia="Arial" w:cs="Arial"/>
          <w:sz w:val="24"/>
          <w:szCs w:val="24"/>
        </w:rPr>
        <w:t xml:space="preserve">Reversible.</w:t>
      </w:r>
    </w:p>
    <w:p>
      <w:pPr/>
      <w:r>
        <w:rPr>
          <w:rFonts w:ascii="Arial" w:hAnsi="Arial" w:eastAsia="Arial" w:cs="Arial"/>
          <w:sz w:val="24"/>
          <w:szCs w:val="24"/>
        </w:rPr>
        <w:t xml:space="preserve">Reversing mode: The volumetric flow is reduced by approx. 35 % with abnormal air flow direction.</w:t>
      </w:r>
    </w:p>
    <w:p>
      <w:pPr/>
      <w:r>
        <w:rPr>
          <w:rFonts w:ascii="Arial" w:hAnsi="Arial" w:eastAsia="Arial" w:cs="Arial"/>
          <w:sz w:val="24"/>
          <w:szCs w:val="24"/>
        </w:rPr>
        <w:t xml:space="preserve">S1 operating mode (continuous operation).</w:t>
      </w:r>
    </w:p>
    <w:p>
      <w:pPr/>
      <w:r>
        <w:rPr>
          <w:rFonts w:ascii="Arial" w:hAnsi="Arial" w:eastAsia="Arial" w:cs="Arial"/>
          <w:sz w:val="24"/>
          <w:szCs w:val="24"/>
        </w:rPr>
        <w:t xml:space="preserve">Speed control permitted with TR... transformer. Exception: DZR 35/2 B Ex...</w:t>
      </w:r>
    </w:p>
    <w:p>
      <w:pPr/>
      <w:r>
        <w:rPr>
          <w:rFonts w:ascii="Arial" w:hAnsi="Arial" w:eastAsia="Arial" w:cs="Arial"/>
          <w:sz w:val="24"/>
          <w:szCs w:val="24"/>
        </w:rPr>
        <w:t xml:space="preserve">The temperature in the fan motor is monitored by PTC thermistors. The PTC thermistors must be connected to a triggering system (safety device according to Directive 2014/34/EU), that separates the fan permanently from the power if the temperature gets too hot.</w:t>
      </w:r>
    </w:p>
    <w:p>
      <w:pPr/>
      <w:r>
        <w:rPr>
          <w:rFonts w:ascii="Arial" w:hAnsi="Arial" w:eastAsia="Arial" w:cs="Arial"/>
          <w:sz w:val="24"/>
          <w:szCs w:val="24"/>
        </w:rPr>
        <w:t xml:space="preserve">The MAICO PTC thermistor triggering device MVS 6 or TMS is recommended as the triggering system.</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Terminal box mounted on the fan, explosion-proof, with cable screw connections.</w:t>
      </w:r>
    </w:p>
    <w:p/>
    <w:p>
      <w:pPr/>
      <w:r>
        <w:rPr>
          <w:rFonts w:ascii="Arial" w:hAnsi="Arial" w:eastAsia="Arial" w:cs="Arial"/>
          <w:sz w:val="24"/>
          <w:szCs w:val="24"/>
        </w:rPr>
        <w:t xml:space="preserve">Required safety technology</w:t>
      </w:r>
    </w:p>
    <w:p>
      <w:pPr/>
      <w:r>
        <w:rPr>
          <w:rFonts w:ascii="Arial" w:hAnsi="Arial" w:eastAsia="Arial" w:cs="Arial"/>
          <w:sz w:val="24"/>
          <w:szCs w:val="24"/>
        </w:rPr>
        <w:t xml:space="preserve">A PTC thermistor triggering device is needed to fuse the DZR-Ex units.</w:t>
      </w:r>
    </w:p>
    <w:p>
      <w:pPr/>
      <w:r>
        <w:rPr>
          <w:rFonts w:ascii="Arial" w:hAnsi="Arial" w:eastAsia="Arial" w:cs="Arial"/>
          <w:sz w:val="24"/>
          <w:szCs w:val="24"/>
        </w:rPr>
        <w:t xml:space="preserve">Maico provides the MVS 6 PTC thermistor triggering device and TMS for this purpose.</w:t>
      </w:r>
    </w:p>
    <w:p/>
    <w:p>
      <w:pPr/>
      <w:r>
        <w:rPr>
          <w:rFonts w:ascii="Arial" w:hAnsi="Arial" w:eastAsia="Arial" w:cs="Arial"/>
          <w:sz w:val="24"/>
          <w:szCs w:val="24"/>
        </w:rPr>
        <w:t xml:space="preserve">MVS 6 thermistor triggering device.</w:t>
      </w:r>
    </w:p>
    <w:p>
      <w:pPr/>
      <w:r>
        <w:rPr>
          <w:rFonts w:ascii="Arial" w:hAnsi="Arial" w:eastAsia="Arial" w:cs="Arial"/>
          <w:sz w:val="24"/>
          <w:szCs w:val="24"/>
        </w:rPr>
        <w:t xml:space="preserve">Independent complete system.</w:t>
      </w:r>
    </w:p>
    <w:p>
      <w:pPr/>
      <w:r>
        <w:rPr>
          <w:rFonts w:ascii="Arial" w:hAnsi="Arial" w:eastAsia="Arial" w:cs="Arial"/>
          <w:sz w:val="24"/>
          <w:szCs w:val="24"/>
        </w:rPr>
        <w:t xml:space="preserve">For monitoring the maximum motor temperature.</w:t>
      </w:r>
    </w:p>
    <w:p>
      <w:pPr/>
      <w:r>
        <w:rPr>
          <w:rFonts w:ascii="Arial" w:hAnsi="Arial" w:eastAsia="Arial" w:cs="Arial"/>
          <w:sz w:val="24"/>
          <w:szCs w:val="24"/>
        </w:rPr>
        <w:t xml:space="preserve">Type-examination tested according to Directive 2014/34/EU (ATEX).</w:t>
      </w:r>
    </w:p>
    <w:p>
      <w:pPr/>
      <w:r>
        <w:rPr>
          <w:rFonts w:ascii="Arial" w:hAnsi="Arial" w:eastAsia="Arial" w:cs="Arial"/>
          <w:sz w:val="24"/>
          <w:szCs w:val="24"/>
        </w:rPr>
        <w:t xml:space="preserve">Installation exclusively in non-explosive areas.</w:t>
      </w:r>
    </w:p>
    <w:p/>
    <w:p/>
    <w:p/>
    <w:p>
      <w:pPr/>
      <w:r>
        <w:rPr>
          <w:rFonts w:ascii="Arial" w:hAnsi="Arial" w:eastAsia="Arial" w:cs="Arial"/>
          <w:sz w:val="24"/>
          <w:szCs w:val="24"/>
        </w:rPr>
        <w:t xml:space="preserve">TMS thermistor machine protection relay.</w:t>
      </w:r>
    </w:p>
    <w:p>
      <w:pPr/>
      <w:r>
        <w:rPr>
          <w:rFonts w:ascii="Arial" w:hAnsi="Arial" w:eastAsia="Arial" w:cs="Arial"/>
          <w:sz w:val="24"/>
          <w:szCs w:val="24"/>
        </w:rPr>
        <w:t xml:space="preserve">For monitoring the maximum motor temperature.</w:t>
      </w:r>
    </w:p>
    <w:p>
      <w:pPr/>
      <w:r>
        <w:rPr>
          <w:rFonts w:ascii="Arial" w:hAnsi="Arial" w:eastAsia="Arial" w:cs="Arial"/>
          <w:sz w:val="24"/>
          <w:szCs w:val="24"/>
        </w:rPr>
        <w:t xml:space="preserve">Suitable for installation in control cabinets.</w:t>
      </w:r>
    </w:p>
    <w:p>
      <w:pPr/>
      <w:r>
        <w:rPr>
          <w:rFonts w:ascii="Arial" w:hAnsi="Arial" w:eastAsia="Arial" w:cs="Arial"/>
          <w:sz w:val="24"/>
          <w:szCs w:val="24"/>
        </w:rPr>
        <w:t xml:space="preserve">Type-examination tested according to Directive 2014/34/EU (ATEX).</w:t>
      </w:r>
    </w:p>
    <w:p>
      <w:pPr/>
      <w:r>
        <w:rPr>
          <w:rFonts w:ascii="Arial" w:hAnsi="Arial" w:eastAsia="Arial" w:cs="Arial"/>
          <w:sz w:val="24"/>
          <w:szCs w:val="24"/>
        </w:rPr>
        <w:t xml:space="preserve">Installation exclusively in non-explosive areas.</w:t>
      </w:r>
    </w:p>
    <w:p/>
    <w:p/>
    <w:p>
      <w:pPr/>
      <w:r>
        <w:rPr>
          <w:rFonts w:ascii="Arial" w:hAnsi="Arial" w:eastAsia="Arial" w:cs="Arial"/>
          <w:sz w:val="24"/>
          <w:szCs w:val="24"/>
        </w:rPr>
        <w:t xml:space="preserve">Safety information</w:t>
      </w:r>
    </w:p>
    <w:p>
      <w:pPr/>
      <w:r>
        <w:rPr>
          <w:rFonts w:ascii="Arial" w:hAnsi="Arial" w:eastAsia="Arial" w:cs="Arial"/>
          <w:sz w:val="24"/>
          <w:szCs w:val="24"/>
        </w:rPr>
        <w:t xml:space="preserve">The fan may be operated only if the protection against accidental contact with the impeller is guaranteed to be in accordance with DIN EN ISO 13857 for fans with free inlet and outlet, e.g. with an SG protective grille.</w:t>
      </w:r>
    </w:p>
    <w:p/>
    <w:p>
      <w:pPr/>
      <w:r>
        <w:rPr>
          <w:rFonts w:ascii="Arial" w:hAnsi="Arial" w:eastAsia="Arial" w:cs="Arial"/>
          <w:sz w:val="24"/>
          <w:szCs w:val="24"/>
        </w:rPr>
        <w:t xml:space="preserve">Special versions</w:t>
      </w:r>
    </w:p>
    <w:p>
      <w:pPr/>
      <w:r>
        <w:rPr>
          <w:rFonts w:ascii="Arial" w:hAnsi="Arial" w:eastAsia="Arial" w:cs="Arial"/>
          <w:sz w:val="24"/>
          <w:szCs w:val="24"/>
        </w:rPr>
        <w:t xml:space="preserve">Special voltages are available on request, at an extra cost.</w:t>
      </w:r>
    </w:p>
    <w:p>
      <w:pPr/>
      <w:r>
        <w:rPr>
          <w:rFonts w:ascii="Arial" w:hAnsi="Arial" w:eastAsia="Arial" w:cs="Arial"/>
          <w:sz w:val="24"/>
          <w:szCs w:val="24"/>
        </w:rPr>
        <w:t xml:space="preserve">Information on operation at temperatures occasionally below -20°C available upon request.</w:t>
      </w:r>
    </w:p>
    <w:p>
      <w:pPr/>
      <w:r>
        <w:rPr>
          <w:rFonts w:ascii="Arial" w:hAnsi="Arial" w:eastAsia="Arial" w:cs="Arial"/>
          <w:sz w:val="24"/>
          <w:szCs w:val="24"/>
        </w:rPr>
        <w:t xml:space="preserve">Feasibility must be checked in each case.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DZR 60/6 B Ex e</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9.370 m³/h</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960 1/min</w:t>
            </w:r>
          </w:p>
        </w:tc>
      </w:tr>
      <w:tr>
        <w:trPr/>
        <w:tc>
          <w:tcPr>
            <w:tcW w:w="3000" w:type="dxa"/>
          </w:tcPr>
          <w:p>
            <w:r>
              <w:rPr>
                <w:rFonts w:ascii="Arial" w:hAnsi="Arial" w:eastAsia="Arial" w:cs="Arial"/>
                <w:sz w:val="20"/>
                <w:szCs w:val="20"/>
              </w:rPr>
              <w:t xml:space="preserve">Impeller type:</w:t>
            </w:r>
          </w:p>
        </w:tc>
        <w:tc>
          <w:tcPr>
            <w:tcW w:w="3000" w:type="dxa"/>
          </w:tcPr>
          <w:p>
            <w:pPr>
              <w:jc w:val="right"/>
              <w:spacing w:before="0" w:after="0.1"/>
            </w:pPr>
            <w:r>
              <w:rPr>
                <w:rFonts w:ascii="Arial" w:hAnsi="Arial" w:eastAsia="Arial" w:cs="Arial"/>
                <w:sz w:val="20"/>
                <w:szCs w:val="20"/>
              </w:rPr>
              <w:t xml:space="preserve">axial</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Reversing capacity:</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Three-phase AC</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400 V</w:t>
            </w:r>
          </w:p>
        </w:tc>
      </w:tr>
      <w:tr>
        <w:trPr/>
        <w:tc>
          <w:tcPr>
            <w:tcW w:w="3000" w:type="dxa"/>
          </w:tcPr>
          <w:p>
            <w:r>
              <w:rPr>
                <w:rFonts w:ascii="Arial" w:hAnsi="Arial" w:eastAsia="Arial" w:cs="Arial"/>
                <w:sz w:val="20"/>
                <w:szCs w:val="20"/>
              </w:rPr>
              <w:t xml:space="preserve">Frequency:</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295 W</w:t>
            </w:r>
          </w:p>
        </w:tc>
      </w:tr>
      <w:tr>
        <w:trPr/>
        <w:tc>
          <w:tcPr>
            <w:tcW w:w="3000" w:type="dxa"/>
          </w:tcPr>
          <w:p>
            <w:r>
              <w:rPr>
                <w:rFonts w:ascii="Arial" w:hAnsi="Arial" w:eastAsia="Arial" w:cs="Arial"/>
                <w:sz w:val="20"/>
                <w:szCs w:val="20"/>
              </w:rPr>
              <w:t xml:space="preserve">cosφ:</w:t>
            </w:r>
          </w:p>
        </w:tc>
        <w:tc>
          <w:tcPr>
            <w:tcW w:w="3000" w:type="dxa"/>
          </w:tcPr>
          <w:p>
            <w:pPr>
              <w:jc w:val="right"/>
              <w:spacing w:before="0" w:after="0.1"/>
            </w:pPr>
            <w:r>
              <w:rPr>
                <w:rFonts w:ascii="Arial" w:hAnsi="Arial" w:eastAsia="Arial" w:cs="Arial"/>
                <w:sz w:val="20"/>
                <w:szCs w:val="20"/>
              </w:rPr>
              <w:t xml:space="preserve">0,65</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0,66 A</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at U</w:t>
            </w:r>
            <w:r>
              <w:rPr>
                <w:rFonts w:ascii="Arial" w:hAnsi="Arial" w:eastAsia="Arial" w:cs="Arial"/>
                <w:sz w:val="20"/>
                <w:szCs w:val="20"/>
                <w:vertAlign w:val="subscript"/>
              </w:rPr>
              <w:t xml:space="preserve">Nominal</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1,25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64</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F</w:t>
            </w:r>
          </w:p>
        </w:tc>
      </w:tr>
      <w:tr>
        <w:trPr/>
        <w:tc>
          <w:tcPr>
            <w:tcW w:w="3000" w:type="dxa"/>
          </w:tcPr>
          <w:p>
            <w:r>
              <w:rPr>
                <w:rFonts w:ascii="Arial" w:hAnsi="Arial" w:eastAsia="Arial" w:cs="Arial"/>
                <w:sz w:val="20"/>
                <w:szCs w:val="20"/>
              </w:rPr>
              <w:t xml:space="preserve">Installation position:</w:t>
            </w:r>
          </w:p>
        </w:tc>
        <w:tc>
          <w:tcPr>
            <w:tcW w:w="3000" w:type="dxa"/>
          </w:tcPr>
          <w:p>
            <w:pPr>
              <w:jc w:val="right"/>
              <w:spacing w:before="0" w:after="0.1"/>
            </w:pPr>
            <w:r>
              <w:rPr>
                <w:rFonts w:ascii="Arial" w:hAnsi="Arial" w:eastAsia="Arial" w:cs="Arial"/>
                <w:sz w:val="20"/>
                <w:szCs w:val="20"/>
              </w:rPr>
              <w:t xml:space="preserve">vertical  / horizontal</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Housing 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Colour:</w:t>
            </w:r>
          </w:p>
        </w:tc>
        <w:tc>
          <w:tcPr>
            <w:tcW w:w="3000" w:type="dxa"/>
          </w:tcPr>
          <w:p>
            <w:pPr>
              <w:jc w:val="right"/>
              <w:spacing w:before="0" w:after="0.1"/>
            </w:pPr>
            <w:r>
              <w:rPr>
                <w:rFonts w:ascii="Arial" w:hAnsi="Arial" w:eastAsia="Arial" w:cs="Arial"/>
                <w:sz w:val="20"/>
                <w:szCs w:val="20"/>
              </w:rPr>
              <w:t xml:space="preserve">galvanised</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30,12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34,48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600 mm</w:t>
            </w:r>
          </w:p>
        </w:tc>
      </w:tr>
      <w:tr>
        <w:trPr/>
        <w:tc>
          <w:tcPr>
            <w:tcW w:w="3000" w:type="dxa"/>
          </w:tcPr>
          <w:p>
            <w:r>
              <w:rPr>
                <w:rFonts w:ascii="Arial" w:hAnsi="Arial" w:eastAsia="Arial" w:cs="Arial"/>
                <w:sz w:val="20"/>
                <w:szCs w:val="20"/>
              </w:rPr>
              <w:t xml:space="preserve">Width:</w:t>
            </w:r>
          </w:p>
        </w:tc>
        <w:tc>
          <w:tcPr>
            <w:tcW w:w="3000" w:type="dxa"/>
          </w:tcPr>
          <w:p>
            <w:pPr>
              <w:jc w:val="right"/>
              <w:spacing w:before="0" w:after="0.1"/>
            </w:pPr>
            <w:r>
              <w:rPr>
                <w:rFonts w:ascii="Arial" w:hAnsi="Arial" w:eastAsia="Arial" w:cs="Arial"/>
                <w:sz w:val="20"/>
                <w:szCs w:val="20"/>
              </w:rPr>
              <w:t xml:space="preserve">745 mm</w:t>
            </w:r>
          </w:p>
        </w:tc>
      </w:tr>
      <w:tr>
        <w:trPr/>
        <w:tc>
          <w:tcPr>
            <w:tcW w:w="3000" w:type="dxa"/>
          </w:tcPr>
          <w:p>
            <w:r>
              <w:rPr>
                <w:rFonts w:ascii="Arial" w:hAnsi="Arial" w:eastAsia="Arial" w:cs="Arial"/>
                <w:sz w:val="20"/>
                <w:szCs w:val="20"/>
              </w:rPr>
              <w:t xml:space="preserve">Height:</w:t>
            </w:r>
          </w:p>
        </w:tc>
        <w:tc>
          <w:tcPr>
            <w:tcW w:w="3000" w:type="dxa"/>
          </w:tcPr>
          <w:p>
            <w:pPr>
              <w:jc w:val="right"/>
              <w:spacing w:before="0" w:after="0.1"/>
            </w:pPr>
            <w:r>
              <w:rPr>
                <w:rFonts w:ascii="Arial" w:hAnsi="Arial" w:eastAsia="Arial" w:cs="Arial"/>
                <w:sz w:val="20"/>
                <w:szCs w:val="20"/>
              </w:rPr>
              <w:t xml:space="preserve">745 mm</w:t>
            </w:r>
          </w:p>
        </w:tc>
      </w:tr>
      <w:tr>
        <w:trPr/>
        <w:tc>
          <w:tcPr>
            <w:tcW w:w="3000" w:type="dxa"/>
          </w:tcPr>
          <w:p>
            <w:r>
              <w:rPr>
                <w:rFonts w:ascii="Arial" w:hAnsi="Arial" w:eastAsia="Arial" w:cs="Arial"/>
                <w:sz w:val="20"/>
                <w:szCs w:val="20"/>
              </w:rPr>
              <w:t xml:space="preserve">Depth:</w:t>
            </w:r>
          </w:p>
        </w:tc>
        <w:tc>
          <w:tcPr>
            <w:tcW w:w="3000" w:type="dxa"/>
          </w:tcPr>
          <w:p>
            <w:pPr>
              <w:jc w:val="right"/>
              <w:spacing w:before="0" w:after="0.1"/>
            </w:pPr>
            <w:r>
              <w:rPr>
                <w:rFonts w:ascii="Arial" w:hAnsi="Arial" w:eastAsia="Arial" w:cs="Arial"/>
                <w:sz w:val="20"/>
                <w:szCs w:val="20"/>
              </w:rPr>
              <w:t xml:space="preserve">400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770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790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435 mm</w:t>
            </w:r>
          </w:p>
        </w:tc>
      </w:tr>
      <w:tr>
        <w:trPr/>
        <w:tc>
          <w:tcPr>
            <w:tcW w:w="3000" w:type="dxa"/>
          </w:tcPr>
          <w:p>
            <w:r>
              <w:rPr>
                <w:rFonts w:ascii="Arial" w:hAnsi="Arial" w:eastAsia="Arial" w:cs="Arial"/>
                <w:sz w:val="20"/>
                <w:szCs w:val="20"/>
              </w:rPr>
              <w:t xml:space="preserve">EX designation in accordance with the ATEX Directive:</w:t>
            </w:r>
          </w:p>
        </w:tc>
        <w:tc>
          <w:tcPr>
            <w:tcW w:w="3000" w:type="dxa"/>
          </w:tcPr>
          <w:p>
            <w:pPr>
              <w:jc w:val="right"/>
              <w:spacing w:before="0" w:after="0.1"/>
            </w:pPr>
            <w:r>
              <w:rPr>
                <w:rFonts w:ascii="Arial" w:hAnsi="Arial" w:eastAsia="Arial" w:cs="Arial"/>
                <w:sz w:val="20"/>
                <w:szCs w:val="20"/>
              </w:rPr>
              <w:t xml:space="preserve">Ex II 2 G</w:t>
            </w:r>
          </w:p>
        </w:tc>
      </w:tr>
      <w:tr>
        <w:trPr/>
        <w:tc>
          <w:tcPr>
            <w:tcW w:w="3000" w:type="dxa"/>
          </w:tcPr>
          <w:p>
            <w:r>
              <w:rPr>
                <w:rFonts w:ascii="Arial" w:hAnsi="Arial" w:eastAsia="Arial" w:cs="Arial"/>
                <w:sz w:val="20"/>
                <w:szCs w:val="20"/>
              </w:rPr>
              <w:t xml:space="preserve">EX designation in accordance with standard:</w:t>
            </w:r>
          </w:p>
        </w:tc>
        <w:tc>
          <w:tcPr>
            <w:tcW w:w="3000" w:type="dxa"/>
          </w:tcPr>
          <w:p>
            <w:pPr>
              <w:jc w:val="right"/>
              <w:spacing w:before="0" w:after="0.1"/>
            </w:pPr>
            <w:r>
              <w:rPr>
                <w:rFonts w:ascii="Arial" w:hAnsi="Arial" w:eastAsia="Arial" w:cs="Arial"/>
                <w:sz w:val="20"/>
                <w:szCs w:val="20"/>
              </w:rPr>
              <w:t xml:space="preserve">Ex eb IIB + H&lt;sub&gt;2&lt;/sub&gt; T3 Gb  / Ex h IIB + H&lt;sub&gt;2&lt;/sub&gt; T3 Gb</w:t>
            </w:r>
          </w:p>
        </w:tc>
      </w:tr>
      <w:tr>
        <w:trPr/>
        <w:tc>
          <w:tcPr>
            <w:tcW w:w="3000" w:type="dxa"/>
          </w:tcPr>
          <w:p>
            <w:r>
              <w:rPr>
                <w:rFonts w:ascii="Arial" w:hAnsi="Arial" w:eastAsia="Arial" w:cs="Arial"/>
                <w:sz w:val="20"/>
                <w:szCs w:val="20"/>
              </w:rPr>
              <w:t xml:space="preserve">Ta ambient temperature:</w:t>
            </w:r>
          </w:p>
        </w:tc>
        <w:tc>
          <w:tcPr>
            <w:tcW w:w="3000" w:type="dxa"/>
          </w:tcPr>
          <w:p>
            <w:pPr>
              <w:jc w:val="right"/>
              <w:spacing w:before="0" w:after="0.1"/>
            </w:pPr>
            <w:r>
              <w:rPr>
                <w:rFonts w:ascii="Arial" w:hAnsi="Arial" w:eastAsia="Arial" w:cs="Arial"/>
                <w:sz w:val="20"/>
                <w:szCs w:val="20"/>
              </w:rPr>
              <w:t xml:space="preserve">-20 °C ≤ Ta ≤ +60 °C</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A</w:t>
            </w:r>
            <w:r>
              <w:rPr>
                <w:rFonts w:ascii="Arial" w:hAnsi="Arial" w:eastAsia="Arial" w:cs="Arial"/>
                <w:sz w:val="20"/>
                <w:szCs w:val="20"/>
              </w:rPr>
              <w:t xml:space="preserve">/I</w:t>
            </w:r>
            <w:r>
              <w:rPr>
                <w:rFonts w:ascii="Arial" w:hAnsi="Arial" w:eastAsia="Arial" w:cs="Arial"/>
                <w:sz w:val="20"/>
                <w:szCs w:val="20"/>
                <w:vertAlign w:val="subscript"/>
              </w:rPr>
              <w:t xml:space="preserve">N</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4,5</w:t>
            </w:r>
          </w:p>
        </w:tc>
      </w:tr>
      <w:tr>
        <w:trPr/>
        <w:tc>
          <w:tcPr>
            <w:tcW w:w="3000" w:type="dxa"/>
          </w:tcPr>
          <w:p>
            <w:r>
              <w:rPr>
                <w:rFonts w:ascii="Arial" w:hAnsi="Arial" w:eastAsia="Arial" w:cs="Arial"/>
                <w:sz w:val="20"/>
                <w:szCs w:val="20"/>
              </w:rPr>
              <w:t xml:space="preserve">Time t</w:t>
            </w:r>
            <w:r>
              <w:rPr>
                <w:rFonts w:ascii="Arial" w:hAnsi="Arial" w:eastAsia="Arial" w:cs="Arial"/>
                <w:sz w:val="20"/>
                <w:szCs w:val="20"/>
                <w:vertAlign w:val="subscript"/>
              </w:rPr>
              <w:t xml:space="preserve">A</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290 sek</w:t>
            </w:r>
          </w:p>
        </w:tc>
      </w:tr>
      <w:tr>
        <w:trPr/>
        <w:tc>
          <w:tcPr>
            <w:tcW w:w="3000" w:type="dxa"/>
          </w:tcPr>
          <w:p>
            <w:r>
              <w:rPr>
                <w:rFonts w:ascii="Arial" w:hAnsi="Arial" w:eastAsia="Arial" w:cs="Arial"/>
                <w:sz w:val="20"/>
                <w:szCs w:val="20"/>
              </w:rPr>
              <w:t xml:space="preserve">Operating mode:</w:t>
            </w:r>
          </w:p>
        </w:tc>
        <w:tc>
          <w:tcPr>
            <w:tcW w:w="3000" w:type="dxa"/>
          </w:tcPr>
          <w:p>
            <w:pPr>
              <w:jc w:val="right"/>
              <w:spacing w:before="0" w:after="0.1"/>
            </w:pPr>
            <w:r>
              <w:rPr>
                <w:rFonts w:ascii="Arial" w:hAnsi="Arial" w:eastAsia="Arial" w:cs="Arial"/>
                <w:sz w:val="20"/>
                <w:szCs w:val="20"/>
              </w:rPr>
              <w:t xml:space="preserve">S1</w:t>
            </w:r>
          </w:p>
        </w:tc>
      </w:tr>
      <w:tr>
        <w:trPr/>
        <w:tc>
          <w:tcPr>
            <w:tcW w:w="3000" w:type="dxa"/>
          </w:tcPr>
          <w:p>
            <w:r>
              <w:rPr>
                <w:rFonts w:ascii="Arial" w:hAnsi="Arial" w:eastAsia="Arial" w:cs="Arial"/>
                <w:sz w:val="20"/>
                <w:szCs w:val="20"/>
              </w:rPr>
              <w:t xml:space="preserve">PTC DIN 44082:</w:t>
            </w:r>
          </w:p>
        </w:tc>
        <w:tc>
          <w:tcPr>
            <w:tcW w:w="3000" w:type="dxa"/>
          </w:tcPr>
          <w:p>
            <w:pPr>
              <w:jc w:val="right"/>
              <w:spacing w:before="0" w:after="0.1"/>
            </w:pPr>
            <w:r>
              <w:rPr>
                <w:rFonts w:ascii="Arial" w:hAnsi="Arial" w:eastAsia="Arial" w:cs="Arial"/>
                <w:sz w:val="20"/>
                <w:szCs w:val="20"/>
              </w:rPr>
              <w:t xml:space="preserve">M 130</w:t>
            </w:r>
          </w:p>
        </w:tc>
      </w:tr>
      <w:tr>
        <w:trPr/>
        <w:tc>
          <w:tcPr>
            <w:tcW w:w="3000" w:type="dxa"/>
          </w:tcPr>
          <w:p>
            <w:r>
              <w:rPr>
                <w:rFonts w:ascii="Arial" w:hAnsi="Arial" w:eastAsia="Arial" w:cs="Arial"/>
                <w:sz w:val="20"/>
                <w:szCs w:val="20"/>
              </w:rPr>
              <w:t xml:space="preserve">EC type examination certificate:</w:t>
            </w:r>
          </w:p>
        </w:tc>
        <w:tc>
          <w:tcPr>
            <w:tcW w:w="3000" w:type="dxa"/>
          </w:tcPr>
          <w:p>
            <w:pPr>
              <w:jc w:val="right"/>
              <w:spacing w:before="0" w:after="0.1"/>
            </w:pPr>
            <w:r>
              <w:rPr>
                <w:rFonts w:ascii="Arial" w:hAnsi="Arial" w:eastAsia="Arial" w:cs="Arial"/>
                <w:sz w:val="20"/>
                <w:szCs w:val="20"/>
              </w:rPr>
              <w:t xml:space="preserve">TÜV-A 19 ATEX0103 X, IECEx EPS 19.0019X</w:t>
            </w:r>
          </w:p>
        </w:tc>
      </w:tr>
      <w:tr>
        <w:trPr/>
        <w:tc>
          <w:tcPr>
            <w:tcW w:w="3000" w:type="dxa"/>
          </w:tcPr>
          <w:p>
            <w:r>
              <w:rPr>
                <w:rFonts w:ascii="Arial" w:hAnsi="Arial" w:eastAsia="Arial" w:cs="Arial"/>
                <w:sz w:val="20"/>
                <w:szCs w:val="20"/>
              </w:rPr>
              <w:t xml:space="preserve">Temperature class:</w:t>
            </w:r>
          </w:p>
        </w:tc>
        <w:tc>
          <w:tcPr>
            <w:tcW w:w="3000" w:type="dxa"/>
          </w:tcPr>
          <w:p>
            <w:pPr>
              <w:jc w:val="right"/>
              <w:spacing w:before="0" w:after="0.1"/>
            </w:pPr>
            <w:r>
              <w:rPr>
                <w:rFonts w:ascii="Arial" w:hAnsi="Arial" w:eastAsia="Arial" w:cs="Arial"/>
                <w:sz w:val="20"/>
                <w:szCs w:val="20"/>
              </w:rPr>
              <w:t xml:space="preserve">T3</w:t>
            </w:r>
          </w:p>
        </w:tc>
      </w:tr>
      <w:tr>
        <w:trPr/>
        <w:tc>
          <w:tcPr>
            <w:tcW w:w="3000" w:type="dxa"/>
          </w:tcPr>
          <w:p>
            <w:r>
              <w:rPr>
                <w:rFonts w:ascii="Arial" w:hAnsi="Arial" w:eastAsia="Arial" w:cs="Arial"/>
                <w:sz w:val="20"/>
                <w:szCs w:val="20"/>
              </w:rPr>
              <w:t xml:space="preserve">Temperature class of insulating materials Th. Cl.:</w:t>
            </w:r>
          </w:p>
        </w:tc>
        <w:tc>
          <w:tcPr>
            <w:tcW w:w="3000" w:type="dxa"/>
          </w:tcPr>
          <w:p>
            <w:pPr>
              <w:jc w:val="right"/>
              <w:spacing w:before="0" w:after="0.1"/>
            </w:pPr>
            <w:r>
              <w:rPr>
                <w:rFonts w:ascii="Arial" w:hAnsi="Arial" w:eastAsia="Arial" w:cs="Arial"/>
                <w:sz w:val="20"/>
                <w:szCs w:val="20"/>
              </w:rPr>
              <w:t xml:space="preserve">155 (F)</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4012799867159</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0086.0715</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DZR 60/6 B Ex e Axial duct fan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2024-08-25T00:32:43+00:00</dcterms:created>
  <dcterms:modified xsi:type="dcterms:W3CDTF">2024-08-25T00:32:43+00:00</dcterms:modified>
</cp:coreProperties>
</file>

<file path=docProps/custom.xml><?xml version="1.0" encoding="utf-8"?>
<Properties xmlns="http://schemas.openxmlformats.org/officeDocument/2006/custom-properties" xmlns:vt="http://schemas.openxmlformats.org/officeDocument/2006/docPropsVTypes"/>
</file>