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Room air control RLS 45 O</w:t>
      </w:r>
    </w:p>
    <w:p>
      <w:pPr/>
      <w:r>
        <w:rPr>
          <w:rFonts w:ascii="Arial" w:hAnsi="Arial" w:eastAsia="Arial" w:cs="Arial"/>
          <w:sz w:val="24"/>
          <w:szCs w:val="24"/>
        </w:rPr>
        <w:t xml:space="preserve">Special features</w:t>
      </w:r>
    </w:p>
    <w:p>
      <w:pPr/>
      <w:r>
        <w:rPr>
          <w:rFonts w:ascii="Arial" w:hAnsi="Arial" w:eastAsia="Arial" w:cs="Arial"/>
          <w:sz w:val="24"/>
          <w:szCs w:val="24"/>
        </w:rPr>
        <w:t xml:space="preserve">With the control unit, 5 ventilation levels PP45-15/20/30/36/42m³/h and PPB 30 - 5/12/18/22/26 m³/h and 3 operating modes – continuous ventilation (with heat recovery), cross-ventilation (without heat recovery) and sensor-guided automatic operation can be selected.</w:t>
      </w:r>
    </w:p>
    <w:p>
      <w:pPr/>
      <w:r>
        <w:rPr>
          <w:rFonts w:ascii="Arial" w:hAnsi="Arial" w:eastAsia="Arial" w:cs="Arial"/>
          <w:sz w:val="24"/>
          <w:szCs w:val="24"/>
        </w:rPr>
        <w:t xml:space="preserve">Continuous ventilation mode with heat recovery: PushPull mode. The units run in alternation and change direction every 60 s.</w:t>
      </w:r>
    </w:p>
    <w:p>
      <w:pPr/>
      <w:r>
        <w:rPr>
          <w:rFonts w:ascii="Arial" w:hAnsi="Arial" w:eastAsia="Arial" w:cs="Arial"/>
          <w:sz w:val="24"/>
          <w:szCs w:val="24"/>
        </w:rPr>
        <w:t xml:space="preserve">Cross-ventilation operating mode: One unit is permanently in supply air mode and the corresponding unit in exhaust air mode (e.g for summer night cooling).</w:t>
      </w:r>
    </w:p>
    <w:p>
      <w:pPr/>
      <w:r>
        <w:rPr>
          <w:rFonts w:ascii="Arial" w:hAnsi="Arial" w:eastAsia="Arial" w:cs="Arial"/>
          <w:sz w:val="24"/>
          <w:szCs w:val="24"/>
        </w:rPr>
        <w:t xml:space="preserve">In automatic operating mode, the air volume is adjusted continuously to the sensor value (HYI, HY, CO2, VOC).</w:t>
      </w:r>
    </w:p>
    <w:p>
      <w:pPr/>
      <w:r>
        <w:rPr>
          <w:rFonts w:ascii="Arial" w:hAnsi="Arial" w:eastAsia="Arial" w:cs="Arial"/>
          <w:sz w:val="24"/>
          <w:szCs w:val="24"/>
        </w:rPr>
        <w:t xml:space="preserve">The RLS 45 O room air control can be extended with the internal humidity sensor or with the external sensors (humidity, CO2, VOC). In the process, the air volume is adjusted and the units achieve energy efficiency class A+.</w:t>
      </w:r>
    </w:p>
    <w:p>
      <w:pPr/>
      <w:r>
        <w:rPr>
          <w:rFonts w:ascii="Arial" w:hAnsi="Arial" w:eastAsia="Arial" w:cs="Arial"/>
          <w:sz w:val="24"/>
          <w:szCs w:val="24"/>
        </w:rPr>
        <w:t xml:space="preserve">Operation of odd number of units is possible. The volumetric flows are automatically divided according to the number of units.</w:t>
      </w:r>
    </w:p>
    <w:p>
      <w:pPr/>
      <w:r>
        <w:rPr>
          <w:rFonts w:ascii="Arial" w:hAnsi="Arial" w:eastAsia="Arial" w:cs="Arial"/>
          <w:sz w:val="24"/>
          <w:szCs w:val="24"/>
        </w:rPr>
        <w:t xml:space="preserve">ModBus connection possible.</w:t>
      </w:r>
    </w:p>
    <w:p>
      <w:pPr/>
      <w:r>
        <w:rPr>
          <w:rFonts w:ascii="Arial" w:hAnsi="Arial" w:eastAsia="Arial" w:cs="Arial"/>
          <w:sz w:val="24"/>
          <w:szCs w:val="24"/>
        </w:rPr>
        <w:t xml:space="preserve">The control system can be extended with further control systems or PP 45 LT power units.</w:t>
      </w:r>
    </w:p>
    <w:p/>
    <w:p>
      <w:pPr/>
      <w:r>
        <w:rPr>
          <w:rFonts w:ascii="Arial" w:hAnsi="Arial" w:eastAsia="Arial" w:cs="Arial"/>
          <w:sz w:val="24"/>
          <w:szCs w:val="24"/>
        </w:rPr>
        <w:t xml:space="preserve">Features</w:t>
      </w:r>
    </w:p>
    <w:p>
      <w:pPr/>
      <w:r>
        <w:rPr>
          <w:rFonts w:ascii="Arial" w:hAnsi="Arial" w:eastAsia="Arial" w:cs="Arial"/>
          <w:sz w:val="24"/>
          <w:szCs w:val="24"/>
        </w:rPr>
        <w:t xml:space="preserve">The room air control is needed as an accessory for the PP 45 K, PP 45 O or PPB 30 O final installation kits.</w:t>
      </w:r>
    </w:p>
    <w:p>
      <w:pPr/>
      <w:r>
        <w:rPr>
          <w:rFonts w:ascii="Arial" w:hAnsi="Arial" w:eastAsia="Arial" w:cs="Arial"/>
          <w:sz w:val="24"/>
          <w:szCs w:val="24"/>
        </w:rPr>
        <w:t xml:space="preserve">The PPB 30 K final installation kit cannot be operated in conjunction with the RLS 45 O room air control.</w:t>
      </w:r>
    </w:p>
    <w:p>
      <w:pPr/>
      <w:r>
        <w:rPr>
          <w:rFonts w:ascii="Arial" w:hAnsi="Arial" w:eastAsia="Arial" w:cs="Arial"/>
          <w:sz w:val="24"/>
          <w:szCs w:val="24"/>
        </w:rPr>
        <w:t xml:space="preserve">Up to 6 PP 45 units or up to 3 PPB 30 O units can be controlled at the same time via an RLS 45 O room air control.</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RLS 45 O</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3  x 1,5 mm²</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Recessed-mounted</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Synthetic material</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Pure white, similar to RAL 9010</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0,11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0,33 kg</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80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80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49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81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81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50 mm</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4012799573593</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0157.0359</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RLS 45 O Room air control</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2024-08-25T01:11:12+00:00</dcterms:created>
  <dcterms:modified xsi:type="dcterms:W3CDTF">2024-08-25T01:11:12+00:00</dcterms:modified>
</cp:coreProperties>
</file>

<file path=docProps/custom.xml><?xml version="1.0" encoding="utf-8"?>
<Properties xmlns="http://schemas.openxmlformats.org/officeDocument/2006/custom-properties" xmlns:vt="http://schemas.openxmlformats.org/officeDocument/2006/docPropsVTypes"/>
</file>