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Fonts w:ascii="Arial" w:hAnsi="Arial" w:eastAsia="Arial" w:cs="Arial"/>
          <w:sz w:val="24"/>
          <w:szCs w:val="24"/>
          <w:b/>
        </w:rPr>
        <w:t xml:space="preserve">Sound-insulated ventilation box ESR 16-2 S</w:t>
      </w:r>
    </w:p>
    <w:p>
      <w:pPr/>
      <w:r>
        <w:rPr>
          <w:rFonts w:ascii="Arial" w:hAnsi="Arial" w:eastAsia="Arial" w:cs="Arial"/>
          <w:sz w:val="24"/>
          <w:szCs w:val="24"/>
        </w:rPr>
        <w:t xml:space="preserve">Features</w:t>
      </w:r>
    </w:p>
    <w:p>
      <w:pPr/>
      <w:r>
        <w:rPr>
          <w:rFonts w:ascii="Arial" w:hAnsi="Arial" w:eastAsia="Arial" w:cs="Arial"/>
          <w:sz w:val="24"/>
          <w:szCs w:val="24"/>
        </w:rPr>
        <w:t xml:space="preserve">Optimised efficiency, low maintenance costs.</w:t>
      </w:r>
    </w:p>
    <w:p>
      <w:pPr/>
      <w:r>
        <w:rPr>
          <w:rFonts w:ascii="Arial" w:hAnsi="Arial" w:eastAsia="Arial" w:cs="Arial"/>
          <w:sz w:val="24"/>
          <w:szCs w:val="24"/>
        </w:rPr>
        <w:t xml:space="preserve">Removable housing cover with clip-locks.</w:t>
      </w:r>
    </w:p>
    <w:p>
      <w:pPr/>
      <w:r>
        <w:rPr>
          <w:rFonts w:ascii="Arial" w:hAnsi="Arial" w:eastAsia="Arial" w:cs="Arial"/>
          <w:sz w:val="24"/>
          <w:szCs w:val="24"/>
        </w:rPr>
        <w:t xml:space="preserve">Inlet and outlet side connection couplings for direct installation in ventilation ducts.</w:t>
      </w:r>
    </w:p>
    <w:p>
      <w:pPr/>
      <w:r>
        <w:rPr>
          <w:rFonts w:ascii="Arial" w:hAnsi="Arial" w:eastAsia="Arial" w:cs="Arial"/>
          <w:sz w:val="24"/>
          <w:szCs w:val="24"/>
        </w:rPr>
        <w:t xml:space="preserve">With sound absorbing rock wool, laminated with silk glass, to meet the increased requirements of especially low noise levels.</w:t>
      </w:r>
    </w:p>
    <w:p/>
    <w:p>
      <w:pPr/>
      <w:r>
        <w:rPr>
          <w:rFonts w:ascii="Arial" w:hAnsi="Arial" w:eastAsia="Arial" w:cs="Arial"/>
          <w:sz w:val="24"/>
          <w:szCs w:val="24"/>
        </w:rPr>
        <w:t xml:space="preserve">Air flow direction</w:t>
      </w:r>
    </w:p>
    <w:p>
      <w:pPr/>
      <w:r>
        <w:rPr>
          <w:rFonts w:ascii="Arial" w:hAnsi="Arial" w:eastAsia="Arial" w:cs="Arial"/>
          <w:sz w:val="24"/>
          <w:szCs w:val="24"/>
        </w:rPr>
        <w:t xml:space="preserve">The airsteam direction is indicated by an arrow marked on the housing.</w:t>
      </w:r>
    </w:p>
    <w:p/>
    <w:p>
      <w:pPr/>
      <w:r>
        <w:rPr>
          <w:rFonts w:ascii="Arial" w:hAnsi="Arial" w:eastAsia="Arial" w:cs="Arial"/>
          <w:sz w:val="24"/>
          <w:szCs w:val="24"/>
        </w:rPr>
        <w:t xml:space="preserve">Motor</w:t>
      </w:r>
    </w:p>
    <w:p>
      <w:pPr/>
      <w:r>
        <w:rPr>
          <w:rFonts w:ascii="Arial" w:hAnsi="Arial" w:eastAsia="Arial" w:cs="Arial"/>
          <w:sz w:val="24"/>
          <w:szCs w:val="24"/>
        </w:rPr>
        <w:t xml:space="preserve">External rotor-capacitor motor.</w:t>
      </w:r>
    </w:p>
    <w:p>
      <w:pPr/>
      <w:r>
        <w:rPr>
          <w:rFonts w:ascii="Arial" w:hAnsi="Arial" w:eastAsia="Arial" w:cs="Arial"/>
          <w:sz w:val="24"/>
          <w:szCs w:val="24"/>
        </w:rPr>
        <w:t xml:space="preserve">Robust motor with ball bearings, maintenance-free.</w:t>
      </w:r>
    </w:p>
    <w:p>
      <w:pPr/>
      <w:r>
        <w:rPr>
          <w:rFonts w:ascii="Arial" w:hAnsi="Arial" w:eastAsia="Arial" w:cs="Arial"/>
          <w:sz w:val="24"/>
          <w:szCs w:val="24"/>
        </w:rPr>
        <w:t xml:space="preserve">The motor's standard rubber mounting prevents vibrations being transferred to the housing.</w:t>
      </w:r>
    </w:p>
    <w:p>
      <w:pPr/>
      <w:r>
        <w:rPr>
          <w:rFonts w:ascii="Arial" w:hAnsi="Arial" w:eastAsia="Arial" w:cs="Arial"/>
          <w:sz w:val="24"/>
          <w:szCs w:val="24"/>
        </w:rPr>
        <w:t xml:space="preserve">Temperature classes B or F.</w:t>
      </w:r>
    </w:p>
    <w:p>
      <w:pPr/>
      <w:r>
        <w:rPr>
          <w:rFonts w:ascii="Arial" w:hAnsi="Arial" w:eastAsia="Arial" w:cs="Arial"/>
          <w:sz w:val="24"/>
          <w:szCs w:val="24"/>
        </w:rPr>
        <w:t xml:space="preserve">IP X4 degree of protection with closed housing cover.</w:t>
      </w:r>
    </w:p>
    <w:p/>
    <w:p>
      <w:pPr/>
      <w:r>
        <w:rPr>
          <w:rFonts w:ascii="Arial" w:hAnsi="Arial" w:eastAsia="Arial" w:cs="Arial"/>
          <w:sz w:val="24"/>
          <w:szCs w:val="24"/>
        </w:rPr>
        <w:t xml:space="preserve">AC motor</w:t>
      </w:r>
    </w:p>
    <w:p>
      <w:pPr/>
      <w:r>
        <w:rPr>
          <w:rFonts w:ascii="Arial" w:hAnsi="Arial" w:eastAsia="Arial" w:cs="Arial"/>
          <w:sz w:val="24"/>
          <w:szCs w:val="24"/>
        </w:rPr>
        <w:t xml:space="preserve">Thermal overload protection as a standard feature.</w:t>
      </w:r>
    </w:p>
    <w:p/>
    <w:p>
      <w:pPr/>
      <w:r>
        <w:rPr>
          <w:rFonts w:ascii="Arial" w:hAnsi="Arial" w:eastAsia="Arial" w:cs="Arial"/>
          <w:sz w:val="24"/>
          <w:szCs w:val="24"/>
        </w:rPr>
        <w:t xml:space="preserve">Three-phase AC motor</w:t>
      </w:r>
    </w:p>
    <w:p>
      <w:pPr/>
      <w:r>
        <w:rPr>
          <w:rFonts w:ascii="Arial" w:hAnsi="Arial" w:eastAsia="Arial" w:cs="Arial"/>
          <w:sz w:val="24"/>
          <w:szCs w:val="24"/>
        </w:rPr>
        <w:t xml:space="preserve">Potential-free terminal connections, which must be connected to an MV 25 protective motor switch or the control circuit of a contactor.</w:t>
      </w:r>
    </w:p>
    <w:p/>
    <w:p>
      <w:pPr/>
      <w:r>
        <w:rPr>
          <w:rFonts w:ascii="Arial" w:hAnsi="Arial" w:eastAsia="Arial" w:cs="Arial"/>
          <w:sz w:val="24"/>
          <w:szCs w:val="24"/>
        </w:rPr>
        <w:t xml:space="preserve">Mounting instructions</w:t>
      </w:r>
    </w:p>
    <w:p>
      <w:pPr/>
      <w:r>
        <w:rPr>
          <w:rFonts w:ascii="Arial" w:hAnsi="Arial" w:eastAsia="Arial" w:cs="Arial"/>
          <w:sz w:val="24"/>
          <w:szCs w:val="24"/>
        </w:rPr>
        <w:t xml:space="preserve">Can be fitted in any position.</w:t>
      </w:r>
    </w:p>
    <w:p/>
    <w:p>
      <w:pPr/>
      <w:r>
        <w:rPr>
          <w:rFonts w:ascii="Arial" w:hAnsi="Arial" w:eastAsia="Arial" w:cs="Arial"/>
          <w:sz w:val="24"/>
          <w:szCs w:val="24"/>
        </w:rPr>
        <w:t xml:space="preserve">Electrical connection</w:t>
      </w:r>
    </w:p>
    <w:p>
      <w:pPr/>
      <w:r>
        <w:rPr>
          <w:rFonts w:ascii="Arial" w:hAnsi="Arial" w:eastAsia="Arial" w:cs="Arial"/>
          <w:sz w:val="24"/>
          <w:szCs w:val="24"/>
        </w:rPr>
        <w:t xml:space="preserve">Terminal box at front.</w:t>
      </w:r>
    </w:p>
    <w:p/>
    <w:p>
      <w:pPr/>
      <w:r>
        <w:rPr>
          <w:rFonts w:ascii="Arial" w:hAnsi="Arial" w:eastAsia="Arial" w:cs="Arial"/>
          <w:sz w:val="24"/>
          <w:szCs w:val="24"/>
        </w:rPr>
        <w:t xml:space="preserve">Safety instructions</w:t>
      </w:r>
    </w:p>
    <w:p>
      <w:pPr/>
      <w:r>
        <w:rPr>
          <w:rFonts w:ascii="Arial" w:hAnsi="Arial" w:eastAsia="Arial" w:cs="Arial"/>
          <w:sz w:val="24"/>
          <w:szCs w:val="24"/>
        </w:rPr>
        <w:t xml:space="preserve">The fan may be operated only if the protection against accidental contact with the impeller is guaranteed to be in accordance with DIN EN ISO 13857 for fans with free inlet or outlet. To do this, fit a protective grille.</w:t>
      </w:r>
    </w:p>
    <w:p/>
    <w:p>
      <w:pPr/>
      <w:r>
        <w:rPr>
          <w:rFonts w:ascii="Arial" w:hAnsi="Arial" w:eastAsia="Arial" w:cs="Arial"/>
          <w:sz w:val="24"/>
          <w:szCs w:val="24"/>
        </w:rPr>
        <w:t xml:space="preserve">Technical data</w:t>
      </w:r>
    </w:p>
    <w:tbl>
      <w:tblGrid>
        <w:gridCol w:w="3000" w:type="dxa"/>
        <w:gridCol w:w="3000" w:type="dxa"/>
      </w:tblGrid>
      <w:tr>
        <w:trPr/>
        <w:tc>
          <w:tcPr>
            <w:tcW w:w="3000" w:type="dxa"/>
          </w:tcPr>
          <w:p>
            <w:r>
              <w:rPr>
                <w:rFonts w:ascii="Arial" w:hAnsi="Arial" w:eastAsia="Arial" w:cs="Arial"/>
                <w:sz w:val="20"/>
                <w:szCs w:val="20"/>
              </w:rPr>
              <w:t xml:space="preserve">Article:</w:t>
            </w:r>
          </w:p>
        </w:tc>
        <w:tc>
          <w:tcPr>
            <w:tcW w:w="3000" w:type="dxa"/>
          </w:tcPr>
          <w:p>
            <w:pPr>
              <w:jc w:val="right"/>
              <w:spacing w:before="0" w:after="0.1"/>
            </w:pPr>
            <w:r>
              <w:rPr>
                <w:rFonts w:ascii="Arial" w:hAnsi="Arial" w:eastAsia="Arial" w:cs="Arial"/>
                <w:sz w:val="20"/>
                <w:szCs w:val="20"/>
              </w:rPr>
              <w:t xml:space="preserve">ESR 16-2 S</w:t>
            </w:r>
          </w:p>
        </w:tc>
      </w:tr>
      <w:tr>
        <w:trPr/>
        <w:tc>
          <w:tcPr>
            <w:tcW w:w="3000" w:type="dxa"/>
          </w:tcPr>
          <w:p>
            <w:r>
              <w:rPr>
                <w:rFonts w:ascii="Arial" w:hAnsi="Arial" w:eastAsia="Arial" w:cs="Arial"/>
                <w:sz w:val="20"/>
                <w:szCs w:val="20"/>
              </w:rPr>
              <w:t xml:space="preserve">Air flow volume:</w:t>
            </w:r>
          </w:p>
        </w:tc>
        <w:tc>
          <w:tcPr>
            <w:tcW w:w="3000" w:type="dxa"/>
          </w:tcPr>
          <w:p>
            <w:pPr>
              <w:jc w:val="right"/>
              <w:spacing w:before="0" w:after="0.1"/>
            </w:pPr>
            <w:r>
              <w:rPr>
                <w:rFonts w:ascii="Arial" w:hAnsi="Arial" w:eastAsia="Arial" w:cs="Arial"/>
                <w:sz w:val="20"/>
                <w:szCs w:val="20"/>
              </w:rPr>
              <w:t xml:space="preserve">550 m³/h</w:t>
            </w:r>
          </w:p>
        </w:tc>
      </w:tr>
      <w:tr>
        <w:trPr/>
        <w:tc>
          <w:tcPr>
            <w:tcW w:w="3000" w:type="dxa"/>
          </w:tcPr>
          <w:p>
            <w:r>
              <w:rPr>
                <w:rFonts w:ascii="Arial" w:hAnsi="Arial" w:eastAsia="Arial" w:cs="Arial"/>
                <w:sz w:val="20"/>
                <w:szCs w:val="20"/>
              </w:rPr>
              <w:t xml:space="preserve">Rotating speed:</w:t>
            </w:r>
          </w:p>
        </w:tc>
        <w:tc>
          <w:tcPr>
            <w:tcW w:w="3000" w:type="dxa"/>
          </w:tcPr>
          <w:p>
            <w:pPr>
              <w:jc w:val="right"/>
              <w:spacing w:before="0" w:after="0.1"/>
            </w:pPr>
            <w:r>
              <w:rPr>
                <w:rFonts w:ascii="Arial" w:hAnsi="Arial" w:eastAsia="Arial" w:cs="Arial"/>
                <w:sz w:val="20"/>
                <w:szCs w:val="20"/>
              </w:rPr>
              <w:t xml:space="preserve">2.530 1/min</w:t>
            </w:r>
          </w:p>
        </w:tc>
      </w:tr>
      <w:tr>
        <w:trPr/>
        <w:tc>
          <w:tcPr>
            <w:tcW w:w="3000" w:type="dxa"/>
          </w:tcPr>
          <w:p>
            <w:r>
              <w:rPr>
                <w:rFonts w:ascii="Arial" w:hAnsi="Arial" w:eastAsia="Arial" w:cs="Arial"/>
                <w:sz w:val="20"/>
                <w:szCs w:val="20"/>
              </w:rPr>
              <w:t xml:space="preserve">Speed controllable:</w:t>
            </w:r>
          </w:p>
        </w:tc>
        <w:tc>
          <w:tcPr>
            <w:tcW w:w="3000" w:type="dxa"/>
          </w:tcPr>
          <w:p>
            <w:pPr>
              <w:jc w:val="right"/>
              <w:spacing w:before="0" w:after="0.1"/>
            </w:pPr>
            <w:r>
              <w:rPr>
                <w:rFonts w:ascii="Arial" w:hAnsi="Arial" w:eastAsia="Arial" w:cs="Arial"/>
                <w:sz w:val="20"/>
                <w:szCs w:val="20"/>
              </w:rPr>
              <w:t xml:space="preserve"> ✔ </w:t>
            </w:r>
          </w:p>
        </w:tc>
      </w:tr>
      <w:tr>
        <w:trPr/>
        <w:tc>
          <w:tcPr>
            <w:tcW w:w="3000" w:type="dxa"/>
          </w:tcPr>
          <w:p>
            <w:r>
              <w:rPr>
                <w:rFonts w:ascii="Arial" w:hAnsi="Arial" w:eastAsia="Arial" w:cs="Arial"/>
                <w:sz w:val="20"/>
                <w:szCs w:val="20"/>
              </w:rPr>
              <w:t xml:space="preserve">Type of voltage:</w:t>
            </w:r>
          </w:p>
        </w:tc>
        <w:tc>
          <w:tcPr>
            <w:tcW w:w="3000" w:type="dxa"/>
          </w:tcPr>
          <w:p>
            <w:pPr>
              <w:jc w:val="right"/>
              <w:spacing w:before="0" w:after="0.1"/>
            </w:pPr>
            <w:r>
              <w:rPr>
                <w:rFonts w:ascii="Arial" w:hAnsi="Arial" w:eastAsia="Arial" w:cs="Arial"/>
                <w:sz w:val="20"/>
                <w:szCs w:val="20"/>
              </w:rPr>
              <w:t xml:space="preserve">Alternating current</w:t>
            </w:r>
          </w:p>
        </w:tc>
      </w:tr>
      <w:tr>
        <w:trPr/>
        <w:tc>
          <w:tcPr>
            <w:tcW w:w="3000" w:type="dxa"/>
          </w:tcPr>
          <w:p>
            <w:r>
              <w:rPr>
                <w:rFonts w:ascii="Arial" w:hAnsi="Arial" w:eastAsia="Arial" w:cs="Arial"/>
                <w:sz w:val="20"/>
                <w:szCs w:val="20"/>
              </w:rPr>
              <w:t xml:space="preserve">Rated voltage:</w:t>
            </w:r>
          </w:p>
        </w:tc>
        <w:tc>
          <w:tcPr>
            <w:tcW w:w="3000" w:type="dxa"/>
          </w:tcPr>
          <w:p>
            <w:pPr>
              <w:jc w:val="right"/>
              <w:spacing w:before="0" w:after="0.1"/>
            </w:pPr>
            <w:r>
              <w:rPr>
                <w:rFonts w:ascii="Arial" w:hAnsi="Arial" w:eastAsia="Arial" w:cs="Arial"/>
                <w:sz w:val="20"/>
                <w:szCs w:val="20"/>
              </w:rPr>
              <w:t xml:space="preserve">230 V</w:t>
            </w:r>
          </w:p>
        </w:tc>
      </w:tr>
      <w:tr>
        <w:trPr/>
        <w:tc>
          <w:tcPr>
            <w:tcW w:w="3000" w:type="dxa"/>
          </w:tcPr>
          <w:p>
            <w:r>
              <w:rPr>
                <w:rFonts w:ascii="Arial" w:hAnsi="Arial" w:eastAsia="Arial" w:cs="Arial"/>
                <w:sz w:val="20"/>
                <w:szCs w:val="20"/>
              </w:rPr>
              <w:t xml:space="preserve">Nominal output:</w:t>
            </w:r>
          </w:p>
        </w:tc>
        <w:tc>
          <w:tcPr>
            <w:tcW w:w="3000" w:type="dxa"/>
          </w:tcPr>
          <w:p>
            <w:pPr>
              <w:jc w:val="right"/>
              <w:spacing w:before="0" w:after="0.1"/>
            </w:pPr>
            <w:r>
              <w:rPr>
                <w:rFonts w:ascii="Arial" w:hAnsi="Arial" w:eastAsia="Arial" w:cs="Arial"/>
                <w:sz w:val="20"/>
                <w:szCs w:val="20"/>
              </w:rPr>
              <w:t xml:space="preserve">95 W</w:t>
            </w:r>
          </w:p>
        </w:tc>
      </w:tr>
      <w:tr>
        <w:trPr/>
        <w:tc>
          <w:tcPr>
            <w:tcW w:w="3000" w:type="dxa"/>
          </w:tcPr>
          <w:p>
            <w:r>
              <w:rPr>
                <w:rFonts w:ascii="Arial" w:hAnsi="Arial" w:eastAsia="Arial" w:cs="Arial"/>
                <w:sz w:val="20"/>
                <w:szCs w:val="20"/>
              </w:rPr>
              <w:t xml:space="preserve">I</w:t>
            </w:r>
            <w:r>
              <w:rPr>
                <w:rFonts w:ascii="Arial" w:hAnsi="Arial" w:eastAsia="Arial" w:cs="Arial"/>
                <w:sz w:val="20"/>
                <w:szCs w:val="20"/>
                <w:vertAlign w:val="subscript"/>
              </w:rPr>
              <w:t xml:space="preserve">nom</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0,41 A</w:t>
            </w:r>
          </w:p>
        </w:tc>
      </w:tr>
      <w:tr>
        <w:trPr/>
        <w:tc>
          <w:tcPr>
            <w:tcW w:w="3000" w:type="dxa"/>
          </w:tcPr>
          <w:p>
            <w:r>
              <w:rPr>
                <w:rFonts w:ascii="Arial" w:hAnsi="Arial" w:eastAsia="Arial" w:cs="Arial"/>
                <w:sz w:val="20"/>
                <w:szCs w:val="20"/>
              </w:rPr>
              <w:t xml:space="preserve">I</w:t>
            </w:r>
            <w:r>
              <w:rPr>
                <w:rFonts w:ascii="Arial" w:hAnsi="Arial" w:eastAsia="Arial" w:cs="Arial"/>
                <w:sz w:val="20"/>
                <w:szCs w:val="20"/>
                <w:vertAlign w:val="subscript"/>
              </w:rPr>
              <w:t xml:space="preserve">max</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0,5 A</w:t>
            </w:r>
          </w:p>
        </w:tc>
      </w:tr>
      <w:tr>
        <w:trPr/>
        <w:tc>
          <w:tcPr>
            <w:tcW w:w="3000" w:type="dxa"/>
          </w:tcPr>
          <w:p>
            <w:r>
              <w:rPr>
                <w:rFonts w:ascii="Arial" w:hAnsi="Arial" w:eastAsia="Arial" w:cs="Arial"/>
                <w:sz w:val="20"/>
                <w:szCs w:val="20"/>
              </w:rPr>
              <w:t xml:space="preserve">Degree of protection:</w:t>
            </w:r>
          </w:p>
        </w:tc>
        <w:tc>
          <w:tcPr>
            <w:tcW w:w="3000" w:type="dxa"/>
          </w:tcPr>
          <w:p>
            <w:pPr>
              <w:jc w:val="right"/>
              <w:spacing w:before="0" w:after="0.1"/>
            </w:pPr>
            <w:r>
              <w:rPr>
                <w:rFonts w:ascii="Arial" w:hAnsi="Arial" w:eastAsia="Arial" w:cs="Arial"/>
                <w:sz w:val="20"/>
                <w:szCs w:val="20"/>
              </w:rPr>
              <w:t xml:space="preserve">IP X4</w:t>
            </w:r>
          </w:p>
        </w:tc>
      </w:tr>
      <w:tr>
        <w:trPr/>
        <w:tc>
          <w:tcPr>
            <w:tcW w:w="3000" w:type="dxa"/>
          </w:tcPr>
          <w:p>
            <w:r>
              <w:rPr>
                <w:rFonts w:ascii="Arial" w:hAnsi="Arial" w:eastAsia="Arial" w:cs="Arial"/>
                <w:sz w:val="20"/>
                <w:szCs w:val="20"/>
              </w:rPr>
              <w:t xml:space="preserve">Housing material:</w:t>
            </w:r>
          </w:p>
        </w:tc>
        <w:tc>
          <w:tcPr>
            <w:tcW w:w="3000" w:type="dxa"/>
          </w:tcPr>
          <w:p>
            <w:pPr>
              <w:jc w:val="right"/>
              <w:spacing w:before="0" w:after="0.1"/>
            </w:pPr>
            <w:r>
              <w:rPr>
                <w:rFonts w:ascii="Arial" w:hAnsi="Arial" w:eastAsia="Arial" w:cs="Arial"/>
                <w:sz w:val="20"/>
                <w:szCs w:val="20"/>
              </w:rPr>
              <w:t xml:space="preserve">Sheet steel, galvanised</w:t>
            </w:r>
          </w:p>
        </w:tc>
      </w:tr>
      <w:tr>
        <w:trPr/>
        <w:tc>
          <w:tcPr>
            <w:tcW w:w="3000" w:type="dxa"/>
          </w:tcPr>
          <w:p>
            <w:r>
              <w:rPr>
                <w:rFonts w:ascii="Arial" w:hAnsi="Arial" w:eastAsia="Arial" w:cs="Arial"/>
                <w:sz w:val="20"/>
                <w:szCs w:val="20"/>
              </w:rPr>
              <w:t xml:space="preserve">Weight:</w:t>
            </w:r>
          </w:p>
        </w:tc>
        <w:tc>
          <w:tcPr>
            <w:tcW w:w="3000" w:type="dxa"/>
          </w:tcPr>
          <w:p>
            <w:pPr>
              <w:jc w:val="right"/>
              <w:spacing w:before="0" w:after="0.1"/>
            </w:pPr>
            <w:r>
              <w:rPr>
                <w:rFonts w:ascii="Arial" w:hAnsi="Arial" w:eastAsia="Arial" w:cs="Arial"/>
                <w:sz w:val="20"/>
                <w:szCs w:val="20"/>
              </w:rPr>
              <w:t xml:space="preserve">17,9</w:t>
            </w:r>
          </w:p>
        </w:tc>
      </w:tr>
      <w:tr>
        <w:trPr/>
        <w:tc>
          <w:tcPr>
            <w:tcW w:w="3000" w:type="dxa"/>
          </w:tcPr>
          <w:p>
            <w:r>
              <w:rPr>
                <w:rFonts w:ascii="Arial" w:hAnsi="Arial" w:eastAsia="Arial" w:cs="Arial"/>
                <w:sz w:val="20"/>
                <w:szCs w:val="20"/>
              </w:rPr>
              <w:t xml:space="preserve">Weight including packaging:</w:t>
            </w:r>
          </w:p>
        </w:tc>
        <w:tc>
          <w:tcPr>
            <w:tcW w:w="3000" w:type="dxa"/>
          </w:tcPr>
          <w:p>
            <w:pPr>
              <w:jc w:val="right"/>
              <w:spacing w:before="0" w:after="0.1"/>
            </w:pPr>
            <w:r>
              <w:rPr>
                <w:rFonts w:ascii="Arial" w:hAnsi="Arial" w:eastAsia="Arial" w:cs="Arial"/>
                <w:sz w:val="20"/>
                <w:szCs w:val="20"/>
              </w:rPr>
              <w:t xml:space="preserve">19,54 kg</w:t>
            </w:r>
          </w:p>
        </w:tc>
      </w:tr>
      <w:tr>
        <w:trPr/>
        <w:tc>
          <w:tcPr>
            <w:tcW w:w="3000" w:type="dxa"/>
          </w:tcPr>
          <w:p>
            <w:r>
              <w:rPr>
                <w:rFonts w:ascii="Arial" w:hAnsi="Arial" w:eastAsia="Arial" w:cs="Arial"/>
                <w:sz w:val="20"/>
                <w:szCs w:val="20"/>
              </w:rPr>
              <w:t xml:space="preserve">Swivelling fan:</w:t>
            </w:r>
          </w:p>
        </w:tc>
        <w:tc>
          <w:tcPr>
            <w:tcW w:w="3000" w:type="dxa"/>
          </w:tcPr>
          <w:p>
            <w:pPr>
              <w:jc w:val="right"/>
              <w:spacing w:before="0" w:after="0.1"/>
            </w:pPr>
            <w:r>
              <w:rPr>
                <w:rFonts w:ascii="Arial" w:hAnsi="Arial" w:eastAsia="Arial" w:cs="Arial"/>
                <w:sz w:val="20"/>
                <w:szCs w:val="20"/>
              </w:rPr>
              <w:t xml:space="preserve"> ✔ </w:t>
            </w:r>
          </w:p>
        </w:tc>
      </w:tr>
      <w:tr>
        <w:trPr/>
        <w:tc>
          <w:tcPr>
            <w:tcW w:w="3000" w:type="dxa"/>
          </w:tcPr>
          <w:p>
            <w:r>
              <w:rPr>
                <w:rFonts w:ascii="Arial" w:hAnsi="Arial" w:eastAsia="Arial" w:cs="Arial"/>
                <w:sz w:val="20"/>
                <w:szCs w:val="20"/>
              </w:rPr>
              <w:t xml:space="preserve">Nominal size:</w:t>
            </w:r>
          </w:p>
        </w:tc>
        <w:tc>
          <w:tcPr>
            <w:tcW w:w="3000" w:type="dxa"/>
          </w:tcPr>
          <w:p>
            <w:pPr>
              <w:jc w:val="right"/>
              <w:spacing w:before="0" w:after="0.1"/>
            </w:pPr>
            <w:r>
              <w:rPr>
                <w:rFonts w:ascii="Arial" w:hAnsi="Arial" w:eastAsia="Arial" w:cs="Arial"/>
                <w:sz w:val="20"/>
                <w:szCs w:val="20"/>
              </w:rPr>
              <w:t xml:space="preserve">160 mm</w:t>
            </w:r>
          </w:p>
        </w:tc>
      </w:tr>
      <w:tr>
        <w:trPr/>
        <w:tc>
          <w:tcPr>
            <w:tcW w:w="3000" w:type="dxa"/>
          </w:tcPr>
          <w:p>
            <w:r>
              <w:rPr>
                <w:rFonts w:ascii="Arial" w:hAnsi="Arial" w:eastAsia="Arial" w:cs="Arial"/>
                <w:sz w:val="20"/>
                <w:szCs w:val="20"/>
              </w:rPr>
              <w:t xml:space="preserve">Width with packaging:</w:t>
            </w:r>
          </w:p>
        </w:tc>
        <w:tc>
          <w:tcPr>
            <w:tcW w:w="3000" w:type="dxa"/>
          </w:tcPr>
          <w:p>
            <w:pPr>
              <w:jc w:val="right"/>
              <w:spacing w:before="0" w:after="0.1"/>
            </w:pPr>
            <w:r>
              <w:rPr>
                <w:rFonts w:ascii="Arial" w:hAnsi="Arial" w:eastAsia="Arial" w:cs="Arial"/>
                <w:sz w:val="20"/>
                <w:szCs w:val="20"/>
              </w:rPr>
              <w:t xml:space="preserve">495 mm</w:t>
            </w:r>
          </w:p>
        </w:tc>
      </w:tr>
      <w:tr>
        <w:trPr/>
        <w:tc>
          <w:tcPr>
            <w:tcW w:w="3000" w:type="dxa"/>
          </w:tcPr>
          <w:p>
            <w:r>
              <w:rPr>
                <w:rFonts w:ascii="Arial" w:hAnsi="Arial" w:eastAsia="Arial" w:cs="Arial"/>
                <w:sz w:val="20"/>
                <w:szCs w:val="20"/>
              </w:rPr>
              <w:t xml:space="preserve">Height with packaging:</w:t>
            </w:r>
          </w:p>
        </w:tc>
        <w:tc>
          <w:tcPr>
            <w:tcW w:w="3000" w:type="dxa"/>
          </w:tcPr>
          <w:p>
            <w:pPr>
              <w:jc w:val="right"/>
              <w:spacing w:before="0" w:after="0.1"/>
            </w:pPr>
            <w:r>
              <w:rPr>
                <w:rFonts w:ascii="Arial" w:hAnsi="Arial" w:eastAsia="Arial" w:cs="Arial"/>
                <w:sz w:val="20"/>
                <w:szCs w:val="20"/>
              </w:rPr>
              <w:t xml:space="preserve">320 mm</w:t>
            </w:r>
          </w:p>
        </w:tc>
      </w:tr>
      <w:tr>
        <w:trPr/>
        <w:tc>
          <w:tcPr>
            <w:tcW w:w="3000" w:type="dxa"/>
          </w:tcPr>
          <w:p>
            <w:r>
              <w:rPr>
                <w:rFonts w:ascii="Arial" w:hAnsi="Arial" w:eastAsia="Arial" w:cs="Arial"/>
                <w:sz w:val="20"/>
                <w:szCs w:val="20"/>
              </w:rPr>
              <w:t xml:space="preserve">Depth with packaging:</w:t>
            </w:r>
          </w:p>
        </w:tc>
        <w:tc>
          <w:tcPr>
            <w:tcW w:w="3000" w:type="dxa"/>
          </w:tcPr>
          <w:p>
            <w:pPr>
              <w:jc w:val="right"/>
              <w:spacing w:before="0" w:after="0.1"/>
            </w:pPr>
            <w:r>
              <w:rPr>
                <w:rFonts w:ascii="Arial" w:hAnsi="Arial" w:eastAsia="Arial" w:cs="Arial"/>
                <w:sz w:val="20"/>
                <w:szCs w:val="20"/>
              </w:rPr>
              <w:t xml:space="preserve">635 mm</w:t>
            </w:r>
          </w:p>
        </w:tc>
      </w:tr>
      <w:tr>
        <w:trPr/>
        <w:tc>
          <w:tcPr>
            <w:tcW w:w="3000" w:type="dxa"/>
          </w:tcPr>
          <w:p>
            <w:r>
              <w:rPr>
                <w:rFonts w:ascii="Arial" w:hAnsi="Arial" w:eastAsia="Arial" w:cs="Arial"/>
                <w:sz w:val="20"/>
                <w:szCs w:val="20"/>
              </w:rPr>
              <w:t xml:space="preserve">Airstream temperature at nominal current:</w:t>
            </w:r>
          </w:p>
        </w:tc>
        <w:tc>
          <w:tcPr>
            <w:tcW w:w="3000" w:type="dxa"/>
          </w:tcPr>
          <w:p>
            <w:pPr>
              <w:jc w:val="right"/>
              <w:spacing w:before="0" w:after="0.1"/>
            </w:pPr>
            <w:r>
              <w:rPr>
                <w:rFonts w:ascii="Arial" w:hAnsi="Arial" w:eastAsia="Arial" w:cs="Arial"/>
                <w:sz w:val="20"/>
                <w:szCs w:val="20"/>
              </w:rPr>
              <w:t xml:space="preserve">-20 °C up to 80 °C</w:t>
            </w:r>
          </w:p>
        </w:tc>
      </w:tr>
      <w:tr>
        <w:trPr/>
        <w:tc>
          <w:tcPr>
            <w:tcW w:w="3000" w:type="dxa"/>
          </w:tcPr>
          <w:p>
            <w:r>
              <w:rPr>
                <w:rFonts w:ascii="Arial" w:hAnsi="Arial" w:eastAsia="Arial" w:cs="Arial"/>
                <w:sz w:val="20"/>
                <w:szCs w:val="20"/>
              </w:rPr>
              <w:t xml:space="preserve">Airstream temperature at I</w:t>
            </w:r>
            <w:r>
              <w:rPr>
                <w:rFonts w:ascii="Arial" w:hAnsi="Arial" w:eastAsia="Arial" w:cs="Arial"/>
                <w:sz w:val="20"/>
                <w:szCs w:val="20"/>
                <w:vertAlign w:val="subscript"/>
              </w:rPr>
              <w:t xml:space="preserve">Max</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80 °C</w:t>
            </w:r>
          </w:p>
        </w:tc>
      </w:tr>
      <w:tr>
        <w:trPr/>
        <w:tc>
          <w:tcPr>
            <w:tcW w:w="3000" w:type="dxa"/>
          </w:tcPr>
          <w:p>
            <w:r>
              <w:rPr>
                <w:rFonts w:ascii="Arial" w:hAnsi="Arial" w:eastAsia="Arial" w:cs="Arial"/>
                <w:sz w:val="20"/>
                <w:szCs w:val="20"/>
              </w:rPr>
              <w:t xml:space="preserve">Ambient temperature:</w:t>
            </w:r>
          </w:p>
        </w:tc>
        <w:tc>
          <w:tcPr>
            <w:tcW w:w="3000" w:type="dxa"/>
          </w:tcPr>
          <w:p>
            <w:pPr>
              <w:jc w:val="right"/>
              <w:spacing w:before="0" w:after="0.1"/>
            </w:pPr>
            <w:r>
              <w:rPr>
                <w:rFonts w:ascii="Arial" w:hAnsi="Arial" w:eastAsia="Arial" w:cs="Arial"/>
                <w:sz w:val="20"/>
                <w:szCs w:val="20"/>
              </w:rPr>
              <w:t xml:space="preserve">-20 °C up to 80 °C</w:t>
            </w:r>
          </w:p>
        </w:tc>
      </w:tr>
      <w:tr>
        <w:trPr/>
        <w:tc>
          <w:tcPr>
            <w:tcW w:w="3000" w:type="dxa"/>
          </w:tcPr>
          <w:p>
            <w:r>
              <w:rPr>
                <w:rFonts w:ascii="Arial" w:hAnsi="Arial" w:eastAsia="Arial" w:cs="Arial"/>
                <w:sz w:val="20"/>
                <w:szCs w:val="20"/>
              </w:rPr>
              <w:t xml:space="preserve">Packing unit:</w:t>
            </w:r>
          </w:p>
        </w:tc>
        <w:tc>
          <w:tcPr>
            <w:tcW w:w="3000" w:type="dxa"/>
          </w:tcPr>
          <w:p>
            <w:pPr>
              <w:jc w:val="right"/>
              <w:spacing w:before="0" w:after="0.1"/>
            </w:pPr>
            <w:r>
              <w:rPr>
                <w:rFonts w:ascii="Arial" w:hAnsi="Arial" w:eastAsia="Arial" w:cs="Arial"/>
                <w:sz w:val="20"/>
                <w:szCs w:val="20"/>
              </w:rPr>
              <w:t xml:space="preserve">1 piece</w:t>
            </w:r>
          </w:p>
        </w:tc>
      </w:tr>
      <w:tr>
        <w:trPr/>
        <w:tc>
          <w:tcPr>
            <w:tcW w:w="3000" w:type="dxa"/>
          </w:tcPr>
          <w:p>
            <w:r>
              <w:rPr>
                <w:rFonts w:ascii="Arial" w:hAnsi="Arial" w:eastAsia="Arial" w:cs="Arial"/>
                <w:sz w:val="20"/>
                <w:szCs w:val="20"/>
              </w:rPr>
              <w:t xml:space="preserve">Range:</w:t>
            </w:r>
          </w:p>
        </w:tc>
        <w:tc>
          <w:tcPr>
            <w:tcW w:w="3000" w:type="dxa"/>
          </w:tcPr>
          <w:p>
            <w:pPr>
              <w:jc w:val="right"/>
              <w:spacing w:before="0" w:after="0.1"/>
            </w:pPr>
            <w:r>
              <w:rPr>
                <w:rFonts w:ascii="Arial" w:hAnsi="Arial" w:eastAsia="Arial" w:cs="Arial"/>
                <w:sz w:val="20"/>
                <w:szCs w:val="20"/>
              </w:rPr>
              <w:t xml:space="preserve">C</w:t>
            </w:r>
          </w:p>
        </w:tc>
      </w:tr>
      <w:tr>
        <w:trPr/>
        <w:tc>
          <w:tcPr>
            <w:tcW w:w="3000" w:type="dxa"/>
          </w:tcPr>
          <w:p>
            <w:r>
              <w:rPr>
                <w:rFonts w:ascii="Arial" w:hAnsi="Arial" w:eastAsia="Arial" w:cs="Arial"/>
                <w:sz w:val="20"/>
                <w:szCs w:val="20"/>
              </w:rPr>
              <w:t xml:space="preserve">GTIN (EAN):</w:t>
            </w:r>
          </w:p>
        </w:tc>
        <w:tc>
          <w:tcPr>
            <w:tcW w:w="3000" w:type="dxa"/>
          </w:tcPr>
          <w:p>
            <w:pPr>
              <w:jc w:val="right"/>
              <w:spacing w:before="0" w:after="0.1"/>
            </w:pPr>
            <w:r>
              <w:rPr>
                <w:rFonts w:ascii="Arial" w:hAnsi="Arial" w:eastAsia="Arial" w:cs="Arial"/>
                <w:sz w:val="20"/>
                <w:szCs w:val="20"/>
              </w:rPr>
              <w:t xml:space="preserve">4012799806189</w:t>
            </w:r>
          </w:p>
        </w:tc>
      </w:tr>
      <w:tr>
        <w:trPr/>
        <w:tc>
          <w:tcPr>
            <w:tcW w:w="3000" w:type="dxa"/>
          </w:tcPr>
          <w:p>
            <w:r>
              <w:rPr>
                <w:rFonts w:ascii="Arial" w:hAnsi="Arial" w:eastAsia="Arial" w:cs="Arial"/>
                <w:sz w:val="20"/>
                <w:szCs w:val="20"/>
              </w:rPr>
              <w:t xml:space="preserve">Article number:</w:t>
            </w:r>
          </w:p>
        </w:tc>
        <w:tc>
          <w:tcPr>
            <w:tcW w:w="3000" w:type="dxa"/>
          </w:tcPr>
          <w:p>
            <w:pPr>
              <w:jc w:val="right"/>
              <w:spacing w:before="0" w:after="0.1"/>
            </w:pPr>
            <w:r>
              <w:rPr>
                <w:rFonts w:ascii="Arial" w:hAnsi="Arial" w:eastAsia="Arial" w:cs="Arial"/>
                <w:sz w:val="20"/>
                <w:szCs w:val="20"/>
              </w:rPr>
              <w:t xml:space="preserve">0080.0618</w:t>
            </w:r>
          </w:p>
        </w:tc>
      </w:tr>
    </w:tbl>
    <w:p>
      <w:pPr/>
      <w:r>
        <w:rPr>
          <w:rFonts w:ascii="Arial" w:hAnsi="Arial" w:eastAsia="Arial" w:cs="Arial"/>
          <w:sz w:val="24"/>
          <w:szCs w:val="24"/>
        </w:rPr>
        <w:t xml:space="preserve">Manufacturer: MAICO</w:t>
      </w:r>
    </w:p>
    <w:p>
      <w:pPr/>
      <w:r>
        <w:rPr>
          <w:rFonts w:ascii="Arial" w:hAnsi="Arial" w:eastAsia="Arial" w:cs="Arial"/>
          <w:sz w:val="24"/>
          <w:szCs w:val="24"/>
        </w:rPr>
        <w:t xml:space="preserve">ESR 16-2 S Sound-insulated ventilation box</w:t>
      </w:r>
    </w:p>
    <w:sectPr>
      <w:pgSz w:orient="portrait" w:w="11870" w:h="16787"/>
      <w:pgMar w:top="852" w:right="852" w:bottom="852" w:left="1278"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2024-07-22T18:56:04+00:00</dcterms:created>
  <dcterms:modified xsi:type="dcterms:W3CDTF">2024-07-22T18:56:04+00:00</dcterms:modified>
</cp:coreProperties>
</file>

<file path=docProps/custom.xml><?xml version="1.0" encoding="utf-8"?>
<Properties xmlns="http://schemas.openxmlformats.org/officeDocument/2006/custom-properties" xmlns:vt="http://schemas.openxmlformats.org/officeDocument/2006/docPropsVTypes"/>
</file>