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Tuyau agrafé WFR 150</w:t></w:r></w:p><w:p><w:pPr/><w:r><w:rPr><w:rFonts w:ascii="Arial" w:hAnsi="Arial" w:eastAsia="Arial" w:cs="Arial"/><w:sz w:val="24"/><w:szCs w:val="24"/></w:rPr><w:t xml:space="preserve">Tuyaux agrafés pour systèmes de ventilation en ventilation domestique contrôlée.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WFR 150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Longueur: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 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4012799550785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0055.0078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WFR 150 Tuyau agrafé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2024-07-07T05:27:59+00:00</dcterms:created>
  <dcterms:modified xsi:type="dcterms:W3CDTF">2024-07-07T05:27:59+00:00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