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Élément de soufflage AES ER EC</w:t></w:r></w:p><w:p><w:pPr/><w:r><w:rPr><w:rFonts w:ascii="Arial" w:hAnsi="Arial" w:eastAsia="Arial" w:cs="Arial"/><w:sz w:val="24"/><w:szCs w:val="24"/></w:rPr><w:t xml:space="preserve">Élément de soufflage comme pièce de rechange pour insert de ventilateur ER EC avec soufflage latéral.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AES ER EC</w:t></w:r></w:p></w:tc></w:tr><w:tr><w:trPr/><w:tc><w:tcPr><w:tcW w:w="3000" w:type="dxa"/></w:tcPr><w:p><w:r><w:rPr><w:rFonts w:ascii="Arial" w:hAnsi="Arial" w:eastAsia="Arial" w:cs="Arial"/><w:sz w:val="20"/><w:szCs w:val="20"/></w:rPr><w:t xml:space="preserve">Boîtier 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noir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0,03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0,13 kg</w:t></w:r></w:p></w:tc></w:tr><w:tr><w:trPr/><w:tc><w:tcPr><w:tcW w:w="3000" w:type="dxa"/></w:tcPr><w:p><w:r><w:rPr><w:rFonts w:ascii="Arial" w:hAnsi="Arial" w:eastAsia="Arial" w:cs="Arial"/><w:sz w:val="20"/><w:szCs w:val="20"/></w:rPr><w:t xml:space="preserve">Direction de soufflage: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latéral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84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84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170 mm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4012799100430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E059.2053.0000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AES ER EC Élément de soufflage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2024-07-07T01:21:00+00:00</dcterms:created>
  <dcterms:modified xsi:type="dcterms:W3CDTF">2024-07-07T01:21:00+00:00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