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Système à air ambiant aeronom WS 600</w:t>
      </w:r>
    </w:p>
    <w:p>
      <w:pPr/>
      <w:r>
        <w:rPr>
          <w:rFonts w:ascii="Arial" w:hAnsi="Arial" w:eastAsia="Arial" w:cs="Arial"/>
          <w:sz w:val="24"/>
          <w:szCs w:val="24"/>
        </w:rPr>
        <w:t xml:space="preserve">Caractéristiques</w:t>
      </w:r>
    </w:p>
    <w:p>
      <w:pPr/>
      <w:r>
        <w:rPr>
          <w:rFonts w:ascii="Arial" w:hAnsi="Arial" w:eastAsia="Arial" w:cs="Arial"/>
          <w:sz w:val="24"/>
          <w:szCs w:val="24"/>
        </w:rPr>
        <w:t xml:space="preserve">Régulation automatique du débit d'air pour un débit d'air constant.</w:t>
      </w:r>
    </w:p>
    <w:p>
      <w:pPr/>
      <w:r>
        <w:rPr>
          <w:rFonts w:ascii="Arial" w:hAnsi="Arial" w:eastAsia="Arial" w:cs="Arial"/>
          <w:sz w:val="24"/>
          <w:szCs w:val="24"/>
        </w:rPr>
        <w:t xml:space="preserve">Particulièrement économique en énergie grâce aux moteurs à courant continu.</w:t>
      </w:r>
    </w:p>
    <w:p>
      <w:pPr/>
      <w:r>
        <w:rPr>
          <w:rFonts w:ascii="Arial" w:hAnsi="Arial" w:eastAsia="Arial" w:cs="Arial"/>
          <w:sz w:val="24"/>
          <w:szCs w:val="24"/>
        </w:rPr>
        <w:t xml:space="preserve">Système de filtrage intégré avec filtre à poussière grossière (G4) dans l'air extérieur et dans l'air sortant. Changement de filtre possible sans outils.</w:t>
      </w:r>
    </w:p>
    <w:p>
      <w:pPr/>
      <w:r>
        <w:rPr>
          <w:rFonts w:ascii="Arial" w:hAnsi="Arial" w:eastAsia="Arial" w:cs="Arial"/>
          <w:sz w:val="24"/>
          <w:szCs w:val="24"/>
        </w:rPr>
        <w:t xml:space="preserve">Contrôle électronique du filtre avec message de changement de filtre sur le module de commande.</w:t>
      </w:r>
    </w:p>
    <w:p>
      <w:pPr/>
      <w:r>
        <w:rPr>
          <w:rFonts w:ascii="Arial" w:hAnsi="Arial" w:eastAsia="Arial" w:cs="Arial"/>
          <w:sz w:val="24"/>
          <w:szCs w:val="24"/>
        </w:rPr>
        <w:t xml:space="preserve">4 raccords à gaine ronde DN 225 avec joint à lèvres en caoutchouc, dont 2 sur le dessus de l'appareil et respectivement 1 sur chaque paroi latérale, Pour le raccord direct de silencieux tubulaires.</w:t>
      </w:r>
    </w:p>
    <w:p>
      <w:pPr/>
      <w:r>
        <w:rPr>
          <w:rFonts w:ascii="Arial" w:hAnsi="Arial" w:eastAsia="Arial" w:cs="Arial"/>
          <w:sz w:val="24"/>
          <w:szCs w:val="24"/>
        </w:rPr>
        <w:t xml:space="preserve">Commande par module de commande dans l'habitat.</w:t>
      </w:r>
    </w:p>
    <w:p>
      <w:pPr/>
      <w:r>
        <w:rPr>
          <w:rFonts w:ascii="Arial" w:hAnsi="Arial" w:eastAsia="Arial" w:cs="Arial"/>
          <w:sz w:val="24"/>
          <w:szCs w:val="24"/>
        </w:rPr>
        <w:t xml:space="preserve">Module de commande pour la sélection des niveaux de ventilation, minuterie, encrassement du filtre fourni.</w:t>
      </w:r>
    </w:p>
    <w:p/>
    <w:p>
      <w:pPr/>
      <w:r>
        <w:rPr>
          <w:rFonts w:ascii="Arial" w:hAnsi="Arial" w:eastAsia="Arial" w:cs="Arial"/>
          <w:sz w:val="24"/>
          <w:szCs w:val="24"/>
        </w:rPr>
        <w:t xml:space="preserve">Échangeur de chaleur</w:t>
      </w:r>
    </w:p>
    <w:p>
      <w:pPr/>
      <w:r>
        <w:rPr>
          <w:rFonts w:ascii="Arial" w:hAnsi="Arial" w:eastAsia="Arial" w:cs="Arial"/>
          <w:sz w:val="24"/>
          <w:szCs w:val="24"/>
        </w:rPr>
        <w:t xml:space="preserve">Échangeur de chaleur à courants croisés en aluminium.</w:t>
      </w:r>
    </w:p>
    <w:p>
      <w:pPr/>
      <w:r>
        <w:rPr>
          <w:rFonts w:ascii="Arial" w:hAnsi="Arial" w:eastAsia="Arial" w:cs="Arial"/>
          <w:sz w:val="24"/>
          <w:szCs w:val="24"/>
        </w:rPr>
        <w:t xml:space="preserve">Démontage aisé de l'échangeur de chaleur pour le nettoyer à l'eau.</w:t>
      </w:r>
    </w:p>
    <w:p/>
    <w:p>
      <w:pPr/>
      <w:r>
        <w:rPr>
          <w:rFonts w:ascii="Arial" w:hAnsi="Arial" w:eastAsia="Arial" w:cs="Arial"/>
          <w:sz w:val="24"/>
          <w:szCs w:val="24"/>
        </w:rPr>
        <w:t xml:space="preserve">Protection contre le gel</w:t>
      </w:r>
    </w:p>
    <w:p>
      <w:pPr/>
      <w:r>
        <w:rPr>
          <w:rFonts w:ascii="Arial" w:hAnsi="Arial" w:eastAsia="Arial" w:cs="Arial"/>
          <w:sz w:val="24"/>
          <w:szCs w:val="24"/>
        </w:rPr>
        <w:t xml:space="preserve">Les systèmes de récupération de chaleur doivent systématiquement être combinés avec un échangeur géothermique afin de garantir un fonctionnement parfait même en présence de températures basses. L'échangeur de chaleur assure en plus une puissance de chauffe supplémentaire en hiver et une capacité de refroidissement supplémentaire en été.</w:t>
      </w:r>
    </w:p>
    <w:p/>
    <w:p>
      <w:pPr/>
      <w:r>
        <w:rPr>
          <w:rFonts w:ascii="Arial" w:hAnsi="Arial" w:eastAsia="Arial" w:cs="Arial"/>
          <w:sz w:val="24"/>
          <w:szCs w:val="24"/>
        </w:rPr>
        <w:t xml:space="preserve">Ventilateur de récupération de chaleur</w:t>
      </w:r>
    </w:p>
    <w:p>
      <w:pPr/>
      <w:r>
        <w:rPr>
          <w:rFonts w:ascii="Arial" w:hAnsi="Arial" w:eastAsia="Arial" w:cs="Arial"/>
          <w:sz w:val="24"/>
          <w:szCs w:val="24"/>
        </w:rPr>
        <w:t xml:space="preserve">2 ventilateurs centrifuges à courant continu, un ventilateur pour l'air entrant et un pour l'air sortant.</w:t>
      </w:r>
    </w:p>
    <w:p/>
    <w:p>
      <w:pPr/>
      <w:r>
        <w:rPr>
          <w:rFonts w:ascii="Arial" w:hAnsi="Arial" w:eastAsia="Arial" w:cs="Arial"/>
          <w:sz w:val="24"/>
          <w:szCs w:val="24"/>
        </w:rPr>
        <w:t xml:space="preserve">3 niveaux de ventilation :</w:t>
      </w:r>
    </w:p>
    <w:p>
      <w:pPr/>
      <w:r>
        <w:rPr>
          <w:rFonts w:ascii="Arial" w:hAnsi="Arial" w:eastAsia="Arial" w:cs="Arial"/>
          <w:sz w:val="24"/>
          <w:szCs w:val="24"/>
        </w:rPr>
        <w:t xml:space="preserve">1 = Ventilation de base/mode nuit</w:t>
      </w:r>
    </w:p>
    <w:p>
      <w:pPr/>
      <w:r>
        <w:rPr>
          <w:rFonts w:ascii="Arial" w:hAnsi="Arial" w:eastAsia="Arial" w:cs="Arial"/>
          <w:sz w:val="24"/>
          <w:szCs w:val="24"/>
        </w:rPr>
        <w:t xml:space="preserve">2 = Normal/mode jour</w:t>
      </w:r>
    </w:p>
    <w:p>
      <w:pPr/>
      <w:r>
        <w:rPr>
          <w:rFonts w:ascii="Arial" w:hAnsi="Arial" w:eastAsia="Arial" w:cs="Arial"/>
          <w:sz w:val="24"/>
          <w:szCs w:val="24"/>
        </w:rPr>
        <w:t xml:space="preserve">3 = Mode intensif/fête</w:t>
      </w:r>
    </w:p>
    <w:p>
      <w:pPr/>
      <w:r>
        <w:rPr>
          <w:rFonts w:ascii="Arial" w:hAnsi="Arial" w:eastAsia="Arial" w:cs="Arial"/>
          <w:sz w:val="24"/>
          <w:szCs w:val="24"/>
        </w:rPr>
        <w:t xml:space="preserve">Réglage d'usine : 270 m3/h / 350 m/h / 450 m/h</w:t>
      </w:r>
    </w:p>
    <w:p/>
    <w:p/>
    <w:p>
      <w:pPr/>
      <w:r>
        <w:rPr>
          <w:rFonts w:ascii="Arial" w:hAnsi="Arial" w:eastAsia="Arial" w:cs="Arial"/>
          <w:sz w:val="24"/>
          <w:szCs w:val="24"/>
        </w:rPr>
        <w:t xml:space="preserve">Consignes pour le montage</w:t>
      </w:r>
    </w:p>
    <w:p>
      <w:pPr/>
      <w:r>
        <w:rPr>
          <w:rFonts w:ascii="Arial" w:hAnsi="Arial" w:eastAsia="Arial" w:cs="Arial"/>
          <w:sz w:val="24"/>
          <w:szCs w:val="24"/>
        </w:rPr>
        <w:t xml:space="preserve">La face avant peut s'abattre pour changer le filtre.</w:t>
      </w:r>
    </w:p>
    <w:p>
      <w:pPr/>
      <w:r>
        <w:rPr>
          <w:rFonts w:ascii="Arial" w:hAnsi="Arial" w:eastAsia="Arial" w:cs="Arial"/>
          <w:sz w:val="24"/>
          <w:szCs w:val="24"/>
        </w:rPr>
        <w:t xml:space="preserve">Veiller à une distance suffisante aux parois latérales lors de l'installation.</w:t>
      </w:r>
    </w:p>
    <w:p>
      <w:pPr/>
      <w:r>
        <w:rPr>
          <w:rFonts w:ascii="Arial" w:hAnsi="Arial" w:eastAsia="Arial" w:cs="Arial"/>
          <w:sz w:val="24"/>
          <w:szCs w:val="24"/>
        </w:rPr>
        <w:t xml:space="preserve">Découpler le boîtier avec des plaques d'isolation des bruits de structure pour l'insonorisation.</w:t>
      </w:r>
    </w:p>
    <w:p/>
    <w:p>
      <w:pPr/>
      <w:r>
        <w:rPr>
          <w:rFonts w:ascii="Arial" w:hAnsi="Arial" w:eastAsia="Arial" w:cs="Arial"/>
          <w:sz w:val="24"/>
          <w:szCs w:val="24"/>
        </w:rPr>
        <w:t xml:space="preserve">Branchement électrique</w:t>
      </w:r>
    </w:p>
    <w:p>
      <w:pPr/>
      <w:r>
        <w:rPr>
          <w:rFonts w:ascii="Arial" w:hAnsi="Arial" w:eastAsia="Arial" w:cs="Arial"/>
          <w:sz w:val="24"/>
          <w:szCs w:val="24"/>
        </w:rPr>
        <w:t xml:space="preserve">Le module de commande fourni est raccordé à la centrale par un câble blindé à 5 conducteurs (longueur maximale 100 m).</w:t>
      </w:r>
    </w:p>
    <w:p/>
    <w:p>
      <w:pPr/>
      <w:r>
        <w:rPr>
          <w:rFonts w:ascii="Arial" w:hAnsi="Arial" w:eastAsia="Arial" w:cs="Arial"/>
          <w:sz w:val="24"/>
          <w:szCs w:val="24"/>
        </w:rPr>
        <w:t xml:space="preserve">Evacuation des condensats</w:t>
      </w:r>
    </w:p>
    <w:p>
      <w:pPr/>
      <w:r>
        <w:rPr>
          <w:rFonts w:ascii="Arial" w:hAnsi="Arial" w:eastAsia="Arial" w:cs="Arial"/>
          <w:sz w:val="24"/>
          <w:szCs w:val="24"/>
        </w:rPr>
        <w:t xml:space="preserve">L'évacuation des condensats s'effectue sur le côté de l'appareil à l'aide d'un tuyau souple (DN 1/2") à raccorder à un siphon.</w:t>
      </w:r>
    </w:p>
    <w:p/>
    <w:p>
      <w:pPr/>
      <w:r>
        <w:rPr>
          <w:rFonts w:ascii="Arial" w:hAnsi="Arial" w:eastAsia="Arial" w:cs="Arial"/>
          <w:sz w:val="24"/>
          <w:szCs w:val="24"/>
        </w:rPr>
        <w:t xml:space="preserve">Caractéristiques techniques</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WS 600</w:t>
            </w:r>
          </w:p>
        </w:tc>
      </w:tr>
      <w:tr>
        <w:trPr/>
        <w:tc>
          <w:tcPr>
            <w:tcW w:w="3000" w:type="dxa"/>
          </w:tcPr>
          <w:p>
            <w:r>
              <w:rPr>
                <w:rFonts w:ascii="Arial" w:hAnsi="Arial" w:eastAsia="Arial" w:cs="Arial"/>
                <w:sz w:val="20"/>
                <w:szCs w:val="20"/>
              </w:rPr>
              <w:t xml:space="preserve">Débit d'air:</w:t>
            </w:r>
          </w:p>
        </w:tc>
        <w:tc>
          <w:tcPr>
            <w:tcW w:w="3000" w:type="dxa"/>
          </w:tcPr>
          <w:p>
            <w:pPr>
              <w:jc w:val="right"/>
              <w:spacing w:before="0" w:after="0.1"/>
            </w:pPr>
            <w:r>
              <w:rPr>
                <w:rFonts w:ascii="Arial" w:hAnsi="Arial" w:eastAsia="Arial" w:cs="Arial"/>
                <w:sz w:val="20"/>
                <w:szCs w:val="20"/>
              </w:rPr>
              <w:t xml:space="preserve">200 m³/h / 550 m³/h</w:t>
            </w:r>
          </w:p>
        </w:tc>
      </w:tr>
      <w:tr>
        <w:trPr/>
        <w:tc>
          <w:tcPr>
            <w:tcW w:w="3000" w:type="dxa"/>
          </w:tcPr>
          <w:p>
            <w:r>
              <w:rPr>
                <w:rFonts w:ascii="Arial" w:hAnsi="Arial" w:eastAsia="Arial" w:cs="Arial"/>
                <w:sz w:val="20"/>
                <w:szCs w:val="20"/>
              </w:rPr>
              <w:t xml:space="preserve">Vitesse de rotation:</w:t>
            </w:r>
          </w:p>
        </w:tc>
        <w:tc>
          <w:tcPr>
            <w:tcW w:w="3000" w:type="dxa"/>
          </w:tcPr>
          <w:p>
            <w:pPr>
              <w:jc w:val="right"/>
              <w:spacing w:before="0" w:after="0.1"/>
            </w:pPr>
            <w:r>
              <w:rPr>
                <w:rFonts w:ascii="Arial" w:hAnsi="Arial" w:eastAsia="Arial" w:cs="Arial"/>
                <w:sz w:val="20"/>
                <w:szCs w:val="20"/>
              </w:rPr>
              <w:t xml:space="preserve">2.070 1/min</w:t>
            </w:r>
          </w:p>
        </w:tc>
      </w:tr>
      <w:tr>
        <w:trPr/>
        <w:tc>
          <w:tcPr>
            <w:tcW w:w="3000" w:type="dxa"/>
          </w:tcPr>
          <w:p>
            <w:r>
              <w:rPr>
                <w:rFonts w:ascii="Arial" w:hAnsi="Arial" w:eastAsia="Arial" w:cs="Arial"/>
                <w:sz w:val="20"/>
                <w:szCs w:val="20"/>
              </w:rPr>
              <w:t xml:space="preserve">Vitesse variable: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Type de tension:</w:t>
            </w:r>
          </w:p>
        </w:tc>
        <w:tc>
          <w:tcPr>
            <w:tcW w:w="3000" w:type="dxa"/>
          </w:tcPr>
          <w:p>
            <w:pPr>
              <w:jc w:val="right"/>
              <w:spacing w:before="0" w:after="0.1"/>
            </w:pPr>
            <w:r>
              <w:rPr>
                <w:rFonts w:ascii="Arial" w:hAnsi="Arial" w:eastAsia="Arial" w:cs="Arial"/>
                <w:sz w:val="20"/>
                <w:szCs w:val="20"/>
              </w:rPr>
              <w:t xml:space="preserve">Courant alternatif</w:t>
            </w:r>
          </w:p>
        </w:tc>
      </w:tr>
      <w:tr>
        <w:trPr/>
        <w:tc>
          <w:tcPr>
            <w:tcW w:w="3000" w:type="dxa"/>
          </w:tcPr>
          <w:p>
            <w:r>
              <w:rPr>
                <w:rFonts w:ascii="Arial" w:hAnsi="Arial" w:eastAsia="Arial" w:cs="Arial"/>
                <w:sz w:val="20"/>
                <w:szCs w:val="20"/>
              </w:rPr>
              <w:t xml:space="preserve">Tension de service:</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Fréquence secteur:</w:t>
            </w:r>
          </w:p>
        </w:tc>
        <w:tc>
          <w:tcPr>
            <w:tcW w:w="3000" w:type="dxa"/>
          </w:tcPr>
          <w:p>
            <w:pPr>
              <w:jc w:val="right"/>
              <w:spacing w:before="0" w:after="0.1"/>
            </w:pPr>
            <w:r>
              <w:rPr>
                <w:rFonts w:ascii="Arial" w:hAnsi="Arial" w:eastAsia="Arial" w:cs="Arial"/>
                <w:sz w:val="20"/>
                <w:szCs w:val="20"/>
              </w:rPr>
              <w:t xml:space="preserve">50 Hz / 60 Hz</w:t>
            </w:r>
          </w:p>
        </w:tc>
      </w:tr>
      <w:tr>
        <w:trPr/>
        <w:tc>
          <w:tcPr>
            <w:tcW w:w="3000" w:type="dxa"/>
          </w:tcPr>
          <w:p>
            <w:r>
              <w:rPr>
                <w:rFonts w:ascii="Arial" w:hAnsi="Arial" w:eastAsia="Arial" w:cs="Arial"/>
                <w:sz w:val="20"/>
                <w:szCs w:val="20"/>
              </w:rPr>
              <w:t xml:space="preserve">Consommation absorbée maximale:</w:t>
            </w:r>
          </w:p>
        </w:tc>
        <w:tc>
          <w:tcPr>
            <w:tcW w:w="3000" w:type="dxa"/>
          </w:tcPr>
          <w:p>
            <w:pPr>
              <w:jc w:val="right"/>
              <w:spacing w:before="0" w:after="0.1"/>
            </w:pPr>
            <w:r>
              <w:rPr>
                <w:rFonts w:ascii="Arial" w:hAnsi="Arial" w:eastAsia="Arial" w:cs="Arial"/>
                <w:sz w:val="20"/>
                <w:szCs w:val="20"/>
              </w:rPr>
              <w:t xml:space="preserve">220 W</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 A</w:t>
            </w:r>
          </w:p>
        </w:tc>
      </w:tr>
      <w:tr>
        <w:trPr/>
        <w:tc>
          <w:tcPr>
            <w:tcW w:w="3000" w:type="dxa"/>
          </w:tcPr>
          <w:p>
            <w:r>
              <w:rPr>
                <w:rFonts w:ascii="Arial" w:hAnsi="Arial" w:eastAsia="Arial" w:cs="Arial"/>
                <w:sz w:val="20"/>
                <w:szCs w:val="20"/>
              </w:rPr>
              <w:t xml:space="preserve">Type de protection:</w:t>
            </w:r>
          </w:p>
        </w:tc>
        <w:tc>
          <w:tcPr>
            <w:tcW w:w="3000" w:type="dxa"/>
          </w:tcPr>
          <w:p>
            <w:pPr>
              <w:jc w:val="right"/>
              <w:spacing w:before="0" w:after="0.1"/>
            </w:pPr>
            <w:r>
              <w:rPr>
                <w:rFonts w:ascii="Arial" w:hAnsi="Arial" w:eastAsia="Arial" w:cs="Arial"/>
                <w:sz w:val="20"/>
                <w:szCs w:val="20"/>
              </w:rPr>
              <w:t xml:space="preserve">IP 00</w:t>
            </w:r>
          </w:p>
        </w:tc>
      </w:tr>
      <w:tr>
        <w:trPr/>
        <w:tc>
          <w:tcPr>
            <w:tcW w:w="3000" w:type="dxa"/>
          </w:tcPr>
          <w:p>
            <w:r>
              <w:rPr>
                <w:rFonts w:ascii="Arial" w:hAnsi="Arial" w:eastAsia="Arial" w:cs="Arial"/>
                <w:sz w:val="20"/>
                <w:szCs w:val="20"/>
              </w:rPr>
              <w:t xml:space="preserve">Lieu d'installation:</w:t>
            </w:r>
          </w:p>
        </w:tc>
        <w:tc>
          <w:tcPr>
            <w:tcW w:w="3000" w:type="dxa"/>
          </w:tcPr>
          <w:p>
            <w:pPr>
              <w:jc w:val="right"/>
              <w:spacing w:before="0" w:after="0.1"/>
            </w:pPr>
            <w:r>
              <w:rPr>
                <w:rFonts w:ascii="Arial" w:hAnsi="Arial" w:eastAsia="Arial" w:cs="Arial"/>
                <w:sz w:val="20"/>
                <w:szCs w:val="20"/>
              </w:rPr>
              <w:t xml:space="preserve">Cave  / Combles  / Jambage  / Local utilitaire domestique  / Chaufferie</w:t>
            </w:r>
          </w:p>
        </w:tc>
      </w:tr>
      <w:tr>
        <w:trPr/>
        <w:tc>
          <w:tcPr>
            <w:tcW w:w="3000" w:type="dxa"/>
          </w:tcPr>
          <w:p>
            <w:r>
              <w:rPr>
                <w:rFonts w:ascii="Arial" w:hAnsi="Arial" w:eastAsia="Arial" w:cs="Arial"/>
                <w:sz w:val="20"/>
                <w:szCs w:val="20"/>
              </w:rPr>
              <w:t xml:space="preserve">Boîtier matériau:</w:t>
            </w:r>
          </w:p>
        </w:tc>
        <w:tc>
          <w:tcPr>
            <w:tcW w:w="3000" w:type="dxa"/>
          </w:tcPr>
          <w:p>
            <w:pPr>
              <w:jc w:val="right"/>
              <w:spacing w:before="0" w:after="0.1"/>
            </w:pPr>
            <w:r>
              <w:rPr>
                <w:rFonts w:ascii="Arial" w:hAnsi="Arial" w:eastAsia="Arial" w:cs="Arial"/>
                <w:sz w:val="20"/>
                <w:szCs w:val="20"/>
              </w:rPr>
              <w:t xml:space="preserve">Tôle d’acier, galvanisée</w:t>
            </w:r>
          </w:p>
        </w:tc>
      </w:tr>
      <w:tr>
        <w:trPr/>
        <w:tc>
          <w:tcPr>
            <w:tcW w:w="3000" w:type="dxa"/>
          </w:tcPr>
          <w:p>
            <w:r>
              <w:rPr>
                <w:rFonts w:ascii="Arial" w:hAnsi="Arial" w:eastAsia="Arial" w:cs="Arial"/>
                <w:sz w:val="20"/>
                <w:szCs w:val="20"/>
              </w:rPr>
              <w:t xml:space="preserve">Couleur:</w:t>
            </w:r>
          </w:p>
        </w:tc>
        <w:tc>
          <w:tcPr>
            <w:tcW w:w="3000" w:type="dxa"/>
          </w:tcPr>
          <w:p>
            <w:pPr>
              <w:jc w:val="right"/>
              <w:spacing w:before="0" w:after="0.1"/>
            </w:pPr>
            <w:r>
              <w:rPr>
                <w:rFonts w:ascii="Arial" w:hAnsi="Arial" w:eastAsia="Arial" w:cs="Arial"/>
                <w:sz w:val="20"/>
                <w:szCs w:val="20"/>
              </w:rPr>
              <w:t xml:space="preserve">gris clair</w:t>
            </w:r>
          </w:p>
        </w:tc>
      </w:tr>
      <w:tr>
        <w:trPr/>
        <w:tc>
          <w:tcPr>
            <w:tcW w:w="3000" w:type="dxa"/>
          </w:tcPr>
          <w:p>
            <w:r>
              <w:rPr>
                <w:rFonts w:ascii="Arial" w:hAnsi="Arial" w:eastAsia="Arial" w:cs="Arial"/>
                <w:sz w:val="20"/>
                <w:szCs w:val="20"/>
              </w:rPr>
              <w:t xml:space="preserve">Poids:</w:t>
            </w:r>
          </w:p>
        </w:tc>
        <w:tc>
          <w:tcPr>
            <w:tcW w:w="3000" w:type="dxa"/>
          </w:tcPr>
          <w:p>
            <w:pPr>
              <w:jc w:val="right"/>
              <w:spacing w:before="0" w:after="0.1"/>
            </w:pPr>
            <w:r>
              <w:rPr>
                <w:rFonts w:ascii="Arial" w:hAnsi="Arial" w:eastAsia="Arial" w:cs="Arial"/>
                <w:sz w:val="20"/>
                <w:szCs w:val="20"/>
              </w:rPr>
              <w:t xml:space="preserve">100</w:t>
            </w:r>
          </w:p>
        </w:tc>
      </w:tr>
      <w:tr>
        <w:trPr/>
        <w:tc>
          <w:tcPr>
            <w:tcW w:w="3000" w:type="dxa"/>
          </w:tcPr>
          <w:p>
            <w:r>
              <w:rPr>
                <w:rFonts w:ascii="Arial" w:hAnsi="Arial" w:eastAsia="Arial" w:cs="Arial"/>
                <w:sz w:val="20"/>
                <w:szCs w:val="20"/>
              </w:rPr>
              <w:t xml:space="preserve">Poids avec emballage:</w:t>
            </w:r>
          </w:p>
        </w:tc>
        <w:tc>
          <w:tcPr>
            <w:tcW w:w="3000" w:type="dxa"/>
          </w:tcPr>
          <w:p>
            <w:pPr>
              <w:jc w:val="right"/>
              <w:spacing w:before="0" w:after="0.1"/>
            </w:pPr>
            <w:r>
              <w:rPr>
                <w:rFonts w:ascii="Arial" w:hAnsi="Arial" w:eastAsia="Arial" w:cs="Arial"/>
                <w:sz w:val="20"/>
                <w:szCs w:val="20"/>
              </w:rPr>
              <w:t xml:space="preserve">122 kg</w:t>
            </w:r>
          </w:p>
        </w:tc>
      </w:tr>
      <w:tr>
        <w:trPr/>
        <w:tc>
          <w:tcPr>
            <w:tcW w:w="3000" w:type="dxa"/>
          </w:tcPr>
          <w:p>
            <w:r>
              <w:rPr>
                <w:rFonts w:ascii="Arial" w:hAnsi="Arial" w:eastAsia="Arial" w:cs="Arial"/>
                <w:sz w:val="20"/>
                <w:szCs w:val="20"/>
              </w:rPr>
              <w:t xml:space="preserve">Classe de filtre:</w:t>
            </w:r>
          </w:p>
        </w:tc>
        <w:tc>
          <w:tcPr>
            <w:tcW w:w="3000" w:type="dxa"/>
          </w:tcPr>
          <w:p>
            <w:pPr>
              <w:jc w:val="right"/>
              <w:spacing w:before="0" w:after="0.1"/>
            </w:pPr>
            <w:r>
              <w:rPr>
                <w:rFonts w:ascii="Arial" w:hAnsi="Arial" w:eastAsia="Arial" w:cs="Arial"/>
                <w:sz w:val="20"/>
                <w:szCs w:val="20"/>
              </w:rPr>
              <w:t xml:space="preserve">G4</w:t>
            </w:r>
          </w:p>
        </w:tc>
      </w:tr>
      <w:tr>
        <w:trPr/>
        <w:tc>
          <w:tcPr>
            <w:tcW w:w="3000" w:type="dxa"/>
          </w:tcPr>
          <w:p>
            <w:r>
              <w:rPr>
                <w:rFonts w:ascii="Arial" w:hAnsi="Arial" w:eastAsia="Arial" w:cs="Arial"/>
                <w:sz w:val="20"/>
                <w:szCs w:val="20"/>
              </w:rPr>
              <w:t xml:space="preserve">Diamètre de raccordement:</w:t>
            </w:r>
          </w:p>
        </w:tc>
        <w:tc>
          <w:tcPr>
            <w:tcW w:w="3000" w:type="dxa"/>
          </w:tcPr>
          <w:p>
            <w:pPr>
              <w:jc w:val="right"/>
              <w:spacing w:before="0" w:after="0.1"/>
            </w:pPr>
            <w:r>
              <w:rPr>
                <w:rFonts w:ascii="Arial" w:hAnsi="Arial" w:eastAsia="Arial" w:cs="Arial"/>
                <w:sz w:val="20"/>
                <w:szCs w:val="20"/>
              </w:rPr>
              <w:t xml:space="preserve">224 mm</w:t>
            </w:r>
          </w:p>
        </w:tc>
      </w:tr>
      <w:tr>
        <w:trPr/>
        <w:tc>
          <w:tcPr>
            <w:tcW w:w="3000" w:type="dxa"/>
          </w:tcPr>
          <w:p>
            <w:r>
              <w:rPr>
                <w:rFonts w:ascii="Arial" w:hAnsi="Arial" w:eastAsia="Arial" w:cs="Arial"/>
                <w:sz w:val="20"/>
                <w:szCs w:val="20"/>
              </w:rPr>
              <w:t xml:space="preserve">Largeur:</w:t>
            </w:r>
          </w:p>
        </w:tc>
        <w:tc>
          <w:tcPr>
            <w:tcW w:w="3000" w:type="dxa"/>
          </w:tcPr>
          <w:p>
            <w:pPr>
              <w:jc w:val="right"/>
              <w:spacing w:before="0" w:after="0.1"/>
            </w:pPr>
            <w:r>
              <w:rPr>
                <w:rFonts w:ascii="Arial" w:hAnsi="Arial" w:eastAsia="Arial" w:cs="Arial"/>
                <w:sz w:val="20"/>
                <w:szCs w:val="20"/>
              </w:rPr>
              <w:t xml:space="preserve">700 mm</w:t>
            </w:r>
          </w:p>
        </w:tc>
      </w:tr>
      <w:tr>
        <w:trPr/>
        <w:tc>
          <w:tcPr>
            <w:tcW w:w="3000" w:type="dxa"/>
          </w:tcPr>
          <w:p>
            <w:r>
              <w:rPr>
                <w:rFonts w:ascii="Arial" w:hAnsi="Arial" w:eastAsia="Arial" w:cs="Arial"/>
                <w:sz w:val="20"/>
                <w:szCs w:val="20"/>
              </w:rPr>
              <w:t xml:space="preserve">Hauteur:</w:t>
            </w:r>
          </w:p>
        </w:tc>
        <w:tc>
          <w:tcPr>
            <w:tcW w:w="3000" w:type="dxa"/>
          </w:tcPr>
          <w:p>
            <w:pPr>
              <w:jc w:val="right"/>
              <w:spacing w:before="0" w:after="0.1"/>
            </w:pPr>
            <w:r>
              <w:rPr>
                <w:rFonts w:ascii="Arial" w:hAnsi="Arial" w:eastAsia="Arial" w:cs="Arial"/>
                <w:sz w:val="20"/>
                <w:szCs w:val="20"/>
              </w:rPr>
              <w:t xml:space="preserve">1.190 mm</w:t>
            </w:r>
          </w:p>
        </w:tc>
      </w:tr>
      <w:tr>
        <w:trPr/>
        <w:tc>
          <w:tcPr>
            <w:tcW w:w="3000" w:type="dxa"/>
          </w:tcPr>
          <w:p>
            <w:r>
              <w:rPr>
                <w:rFonts w:ascii="Arial" w:hAnsi="Arial" w:eastAsia="Arial" w:cs="Arial"/>
                <w:sz w:val="20"/>
                <w:szCs w:val="20"/>
              </w:rPr>
              <w:t xml:space="preserve">Profondeur:</w:t>
            </w:r>
          </w:p>
        </w:tc>
        <w:tc>
          <w:tcPr>
            <w:tcW w:w="3000" w:type="dxa"/>
          </w:tcPr>
          <w:p>
            <w:pPr>
              <w:jc w:val="right"/>
              <w:spacing w:before="0" w:after="0.1"/>
            </w:pPr>
            <w:r>
              <w:rPr>
                <w:rFonts w:ascii="Arial" w:hAnsi="Arial" w:eastAsia="Arial" w:cs="Arial"/>
                <w:sz w:val="20"/>
                <w:szCs w:val="20"/>
              </w:rPr>
              <w:t xml:space="preserve">560 mm</w:t>
            </w:r>
          </w:p>
        </w:tc>
      </w:tr>
      <w:tr>
        <w:trPr/>
        <w:tc>
          <w:tcPr>
            <w:tcW w:w="3000" w:type="dxa"/>
          </w:tcPr>
          <w:p>
            <w:r>
              <w:rPr>
                <w:rFonts w:ascii="Arial" w:hAnsi="Arial" w:eastAsia="Arial" w:cs="Arial"/>
                <w:sz w:val="20"/>
                <w:szCs w:val="20"/>
              </w:rPr>
              <w:t xml:space="preserve">Largeur avec emballage:</w:t>
            </w:r>
          </w:p>
        </w:tc>
        <w:tc>
          <w:tcPr>
            <w:tcW w:w="3000" w:type="dxa"/>
          </w:tcPr>
          <w:p>
            <w:pPr>
              <w:jc w:val="right"/>
              <w:spacing w:before="0" w:after="0.1"/>
            </w:pPr>
            <w:r>
              <w:rPr>
                <w:rFonts w:ascii="Arial" w:hAnsi="Arial" w:eastAsia="Arial" w:cs="Arial"/>
                <w:sz w:val="20"/>
                <w:szCs w:val="20"/>
              </w:rPr>
              <w:t xml:space="preserve">1.690 mm</w:t>
            </w:r>
          </w:p>
        </w:tc>
      </w:tr>
      <w:tr>
        <w:trPr/>
        <w:tc>
          <w:tcPr>
            <w:tcW w:w="3000" w:type="dxa"/>
          </w:tcPr>
          <w:p>
            <w:r>
              <w:rPr>
                <w:rFonts w:ascii="Arial" w:hAnsi="Arial" w:eastAsia="Arial" w:cs="Arial"/>
                <w:sz w:val="20"/>
                <w:szCs w:val="20"/>
              </w:rPr>
              <w:t xml:space="preserve">Hauteur avec emballage:</w:t>
            </w:r>
          </w:p>
        </w:tc>
        <w:tc>
          <w:tcPr>
            <w:tcW w:w="3000" w:type="dxa"/>
          </w:tcPr>
          <w:p>
            <w:pPr>
              <w:jc w:val="right"/>
              <w:spacing w:before="0" w:after="0.1"/>
            </w:pPr>
            <w:r>
              <w:rPr>
                <w:rFonts w:ascii="Arial" w:hAnsi="Arial" w:eastAsia="Arial" w:cs="Arial"/>
                <w:sz w:val="20"/>
                <w:szCs w:val="20"/>
              </w:rPr>
              <w:t xml:space="preserve">590 mm</w:t>
            </w:r>
          </w:p>
        </w:tc>
      </w:tr>
      <w:tr>
        <w:trPr/>
        <w:tc>
          <w:tcPr>
            <w:tcW w:w="3000" w:type="dxa"/>
          </w:tcPr>
          <w:p>
            <w:r>
              <w:rPr>
                <w:rFonts w:ascii="Arial" w:hAnsi="Arial" w:eastAsia="Arial" w:cs="Arial"/>
                <w:sz w:val="20"/>
                <w:szCs w:val="20"/>
              </w:rPr>
              <w:t xml:space="preserve">Profondeur avec emballage:</w:t>
            </w:r>
          </w:p>
        </w:tc>
        <w:tc>
          <w:tcPr>
            <w:tcW w:w="3000" w:type="dxa"/>
          </w:tcPr>
          <w:p>
            <w:pPr>
              <w:jc w:val="right"/>
              <w:spacing w:before="0" w:after="0.1"/>
            </w:pPr>
            <w:r>
              <w:rPr>
                <w:rFonts w:ascii="Arial" w:hAnsi="Arial" w:eastAsia="Arial" w:cs="Arial"/>
                <w:sz w:val="20"/>
                <w:szCs w:val="20"/>
              </w:rPr>
              <w:t xml:space="preserve">810 mm</w:t>
            </w:r>
          </w:p>
        </w:tc>
      </w:tr>
      <w:tr>
        <w:trPr/>
        <w:tc>
          <w:tcPr>
            <w:tcW w:w="3000" w:type="dxa"/>
          </w:tcPr>
          <w:p>
            <w:r>
              <w:rPr>
                <w:rFonts w:ascii="Arial" w:hAnsi="Arial" w:eastAsia="Arial" w:cs="Arial"/>
                <w:sz w:val="20"/>
                <w:szCs w:val="20"/>
              </w:rPr>
              <w:t xml:space="preserve">Température des fluides à 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50 °C</w:t>
            </w:r>
          </w:p>
        </w:tc>
      </w:tr>
      <w:tr>
        <w:trPr/>
        <w:tc>
          <w:tcPr>
            <w:tcW w:w="3000" w:type="dxa"/>
          </w:tcPr>
          <w:p>
            <w:r>
              <w:rPr>
                <w:rFonts w:ascii="Arial" w:hAnsi="Arial" w:eastAsia="Arial" w:cs="Arial"/>
                <w:sz w:val="20"/>
                <w:szCs w:val="20"/>
              </w:rPr>
              <w:t xml:space="preserve">Température ambiante:</w:t>
            </w:r>
          </w:p>
        </w:tc>
        <w:tc>
          <w:tcPr>
            <w:tcW w:w="3000" w:type="dxa"/>
          </w:tcPr>
          <w:p>
            <w:pPr>
              <w:jc w:val="right"/>
              <w:spacing w:before="0" w:after="0.1"/>
            </w:pPr>
            <w:r>
              <w:rPr>
                <w:rFonts w:ascii="Arial" w:hAnsi="Arial" w:eastAsia="Arial" w:cs="Arial"/>
                <w:sz w:val="20"/>
                <w:szCs w:val="20"/>
              </w:rPr>
              <w:t xml:space="preserve">50 °C</w:t>
            </w:r>
          </w:p>
        </w:tc>
      </w:tr>
      <w:tr>
        <w:trPr/>
        <w:tc>
          <w:tcPr>
            <w:tcW w:w="3000" w:type="dxa"/>
          </w:tcPr>
          <w:p>
            <w:r>
              <w:rPr>
                <w:rFonts w:ascii="Arial" w:hAnsi="Arial" w:eastAsia="Arial" w:cs="Arial"/>
                <w:sz w:val="20"/>
                <w:szCs w:val="20"/>
              </w:rPr>
              <w:t xml:space="preserve">Taux de disponibilité de la chaleur:</w:t>
            </w:r>
          </w:p>
        </w:tc>
        <w:tc>
          <w:tcPr>
            <w:tcW w:w="3000" w:type="dxa"/>
          </w:tcPr>
          <w:p>
            <w:pPr>
              <w:jc w:val="right"/>
              <w:spacing w:before="0" w:after="0.1"/>
            </w:pPr>
            <w:r>
              <w:rPr>
                <w:rFonts w:ascii="Arial" w:hAnsi="Arial" w:eastAsia="Arial" w:cs="Arial"/>
                <w:sz w:val="20"/>
                <w:szCs w:val="20"/>
              </w:rPr>
              <w:t xml:space="preserve">90 %</w:t>
            </w:r>
          </w:p>
        </w:tc>
      </w:tr>
      <w:tr>
        <w:trPr/>
        <w:tc>
          <w:tcPr>
            <w:tcW w:w="3000" w:type="dxa"/>
          </w:tcPr>
          <w:p>
            <w:r>
              <w:rPr>
                <w:rFonts w:ascii="Arial" w:hAnsi="Arial" w:eastAsia="Arial" w:cs="Arial"/>
                <w:sz w:val="20"/>
                <w:szCs w:val="20"/>
              </w:rPr>
              <w:t xml:space="preserve">Type de construction de l'échangeur de chaleur:</w:t>
            </w:r>
          </w:p>
        </w:tc>
        <w:tc>
          <w:tcPr>
            <w:tcW w:w="3000" w:type="dxa"/>
          </w:tcPr>
          <w:p>
            <w:pPr>
              <w:jc w:val="right"/>
              <w:spacing w:before="0" w:after="0.1"/>
            </w:pPr>
            <w:r>
              <w:rPr>
                <w:rFonts w:ascii="Arial" w:hAnsi="Arial" w:eastAsia="Arial" w:cs="Arial"/>
                <w:sz w:val="20"/>
                <w:szCs w:val="20"/>
              </w:rPr>
              <w:t xml:space="preserve">Rotor de condensation</w:t>
            </w:r>
          </w:p>
        </w:tc>
      </w:tr>
      <w:tr>
        <w:trPr/>
        <w:tc>
          <w:tcPr>
            <w:tcW w:w="3000" w:type="dxa"/>
          </w:tcPr>
          <w:p>
            <w:r>
              <w:rPr>
                <w:rFonts w:ascii="Arial" w:hAnsi="Arial" w:eastAsia="Arial" w:cs="Arial"/>
                <w:sz w:val="20"/>
                <w:szCs w:val="20"/>
              </w:rPr>
              <w:t xml:space="preserve">Unité de conditionnement:</w:t>
            </w:r>
          </w:p>
        </w:tc>
        <w:tc>
          <w:tcPr>
            <w:tcW w:w="3000" w:type="dxa"/>
          </w:tcPr>
          <w:p>
            <w:pPr>
              <w:jc w:val="right"/>
              <w:spacing w:before="0" w:after="0.1"/>
            </w:pPr>
            <w:r>
              <w:rPr>
                <w:rFonts w:ascii="Arial" w:hAnsi="Arial" w:eastAsia="Arial" w:cs="Arial"/>
                <w:sz w:val="20"/>
                <w:szCs w:val="20"/>
              </w:rPr>
              <w:t xml:space="preserve">1 pièce</w:t>
            </w:r>
          </w:p>
        </w:tc>
      </w:tr>
      <w:tr>
        <w:trPr/>
        <w:tc>
          <w:tcPr>
            <w:tcW w:w="3000" w:type="dxa"/>
          </w:tcPr>
          <w:p>
            <w:r>
              <w:rPr>
                <w:rFonts w:ascii="Arial" w:hAnsi="Arial" w:eastAsia="Arial" w:cs="Arial"/>
                <w:sz w:val="20"/>
                <w:szCs w:val="20"/>
              </w:rPr>
              <w:t xml:space="preserve">Gamme:</w:t>
            </w:r>
          </w:p>
        </w:tc>
        <w:tc>
          <w:tcPr>
            <w:tcW w:w="3000" w:type="dxa"/>
          </w:tcPr>
          <w:p>
            <w:pPr>
              <w:jc w:val="right"/>
              <w:spacing w:before="0" w:after="0.1"/>
            </w:pPr>
            <w:r>
              <w:rPr>
                <w:rFonts w:ascii="Arial" w:hAnsi="Arial" w:eastAsia="Arial" w:cs="Arial"/>
                <w:sz w:val="20"/>
                <w:szCs w:val="20"/>
              </w:rPr>
              <w:t xml:space="preserve">K</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4012799950561</w:t>
            </w:r>
          </w:p>
        </w:tc>
      </w:tr>
      <w:tr>
        <w:trPr/>
        <w:tc>
          <w:tcPr>
            <w:tcW w:w="3000" w:type="dxa"/>
          </w:tcPr>
          <w:p>
            <w:r>
              <w:rPr>
                <w:rFonts w:ascii="Arial" w:hAnsi="Arial" w:eastAsia="Arial" w:cs="Arial"/>
                <w:sz w:val="20"/>
                <w:szCs w:val="20"/>
              </w:rPr>
              <w:t xml:space="preserve">Référence:</w:t>
            </w:r>
          </w:p>
        </w:tc>
        <w:tc>
          <w:tcPr>
            <w:tcW w:w="3000" w:type="dxa"/>
          </w:tcPr>
          <w:p>
            <w:pPr>
              <w:jc w:val="right"/>
              <w:spacing w:before="0" w:after="0.1"/>
            </w:pPr>
            <w:r>
              <w:rPr>
                <w:rFonts w:ascii="Arial" w:hAnsi="Arial" w:eastAsia="Arial" w:cs="Arial"/>
                <w:sz w:val="20"/>
                <w:szCs w:val="20"/>
              </w:rPr>
              <w:t xml:space="preserve">0095.0056</w:t>
            </w:r>
          </w:p>
        </w:tc>
      </w:tr>
    </w:tbl>
    <w:p>
      <w:pPr/>
      <w:r>
        <w:rPr>
          <w:rFonts w:ascii="Arial" w:hAnsi="Arial" w:eastAsia="Arial" w:cs="Arial"/>
          <w:sz w:val="24"/>
          <w:szCs w:val="24"/>
        </w:rPr>
        <w:t xml:space="preserve">Fabricant : MAICO</w:t>
      </w:r>
    </w:p>
    <w:p>
      <w:pPr/>
      <w:r>
        <w:rPr>
          <w:rFonts w:ascii="Arial" w:hAnsi="Arial" w:eastAsia="Arial" w:cs="Arial"/>
          <w:sz w:val="24"/>
          <w:szCs w:val="24"/>
        </w:rPr>
        <w:t xml:space="preserve">WS 600 Système à air ambiant aeronom</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2024-08-25T03:02:26+00:00</dcterms:created>
  <dcterms:modified xsi:type="dcterms:W3CDTF">2024-08-25T03:02:26+00:00</dcterms:modified>
</cp:coreProperties>
</file>

<file path=docProps/custom.xml><?xml version="1.0" encoding="utf-8"?>
<Properties xmlns="http://schemas.openxmlformats.org/officeDocument/2006/custom-properties" xmlns:vt="http://schemas.openxmlformats.org/officeDocument/2006/docPropsVTypes"/>
</file>