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470 BR</w:t>
      </w:r>
    </w:p>
    <w:p>
      <w:pPr/>
      <w:r>
        <w:rPr>
          <w:rFonts w:ascii="Arial" w:hAnsi="Arial" w:eastAsia="Arial" w:cs="Arial"/>
          <w:sz w:val="24"/>
          <w:szCs w:val="24"/>
        </w:rPr>
        <w:t xml:space="preserve">Version bypass</w:t>
      </w:r>
    </w:p>
    <w:p>
      <w:pPr/>
      <w:r>
        <w:rPr>
          <w:rFonts w:ascii="Arial" w:hAnsi="Arial" w:eastAsia="Arial" w:cs="Arial"/>
          <w:sz w:val="24"/>
          <w:szCs w:val="24"/>
        </w:rPr>
        <w:t xml:space="preserve">Avec bypass et échangeur de chaleur à contre-courant croisé.</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 sans accessoires en option.</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60 %.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470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470 BR</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-39,5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87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79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4012799952695</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0095.0269</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470 BR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2024-07-22T20:46:20+00:00</dcterms:created>
  <dcterms:modified xsi:type="dcterms:W3CDTF">2024-07-22T20:46:20+00:00</dcterms:modified>
</cp:coreProperties>
</file>

<file path=docProps/custom.xml><?xml version="1.0" encoding="utf-8"?>
<Properties xmlns="http://schemas.openxmlformats.org/officeDocument/2006/custom-properties" xmlns:vt="http://schemas.openxmlformats.org/officeDocument/2006/docPropsVTypes"/>
</file>