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Ausgleichsrahmen WRG 35-AR</w:t>
      </w:r>
    </w:p>
    <w:p>
      <w:pPr/>
      <w:r>
        <w:rPr>
          <w:rFonts w:ascii="Arial" w:hAnsi="Arial" w:eastAsia="Arial" w:cs="Arial"/>
          <w:sz w:val="24"/>
          <w:szCs w:val="24"/>
        </w:rPr>
        <w:t xml:space="preserve">Ausgleichsrahmen für Einzelraumlüftungsgerät WRG 35.</w:t>
      </w:r>
    </w:p>
    <w:p>
      <w:pPr/>
      <w:r>
        <w:rPr>
          <w:rFonts w:ascii="Arial" w:hAnsi="Arial" w:eastAsia="Arial" w:cs="Arial"/>
          <w:sz w:val="24"/>
          <w:szCs w:val="24"/>
        </w:rPr>
        <w:t xml:space="preserve">Der Ausgleichsrahmen ist notwendig, wenn die Wand dünner als 350 mm ist und das Rohbauset (Wandhülse) somit zu weit aus der Wand ragt, so dass die Außenabdeckung nicht mehr montiert werden kann. Die Außenwand muss jedoch mindestens 251 mm dick sein.</w:t>
      </w:r>
    </w:p>
    <w:p/>
    <w:p>
      <w:pPr/>
      <w:r>
        <w:rPr>
          <w:rFonts w:ascii="Arial" w:hAnsi="Arial" w:eastAsia="Arial" w:cs="Arial"/>
          <w:sz w:val="24"/>
          <w:szCs w:val="24"/>
        </w:rPr>
        <w:t xml:space="preserve">Lieferumfang:</w:t>
      </w:r>
    </w:p>
    <w:p>
      <w:pPr/>
      <w:r>
        <w:rPr>
          <w:rFonts w:ascii="Arial" w:hAnsi="Arial" w:eastAsia="Arial" w:cs="Arial"/>
          <w:sz w:val="24"/>
          <w:szCs w:val="24"/>
        </w:rPr>
        <w:t xml:space="preserve">1 x Ausgleichsrahmen (Material: V2A)</w:t>
      </w:r>
    </w:p>
    <w:p>
      <w:pPr/>
      <w:r>
        <w:rPr>
          <w:rFonts w:ascii="Arial" w:hAnsi="Arial" w:eastAsia="Arial" w:cs="Arial"/>
          <w:sz w:val="24"/>
          <w:szCs w:val="24"/>
        </w:rPr>
        <w:t xml:space="preserve">1 x Verlängerungshülse (Material: PVC)</w:t>
      </w:r>
    </w:p>
    <w:p>
      <w:pPr/>
      <w:r>
        <w:rPr>
          <w:rFonts w:ascii="Arial" w:hAnsi="Arial" w:eastAsia="Arial" w:cs="Arial"/>
          <w:sz w:val="24"/>
          <w:szCs w:val="24"/>
        </w:rPr>
        <w:t xml:space="preserve">1 x Trennsteg (Material: EPP)</w:t>
      </w:r>
    </w:p>
    <w:p>
      <w:pPr/>
      <w:r>
        <w:rPr>
          <w:rFonts w:ascii="Arial" w:hAnsi="Arial" w:eastAsia="Arial" w:cs="Arial"/>
          <w:sz w:val="24"/>
          <w:szCs w:val="24"/>
        </w:rPr>
        <w:t xml:space="preserve">1 x Verlängerung Kondensatablauf (Material: EPP)</w:t>
      </w:r>
    </w:p>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WRG 35-AR</w:t>
            </w:r>
          </w:p>
        </w:tc>
      </w:tr>
      <w:tr>
        <w:trPr/>
        <w:tc>
          <w:tcPr>
            <w:tcW w:w="3000" w:type="dxa"/>
          </w:tcPr>
          <w:p>
            <w:r>
              <w:rPr>
                <w:rFonts w:ascii="Arial" w:hAnsi="Arial" w:eastAsia="Arial" w:cs="Arial"/>
                <w:sz w:val="20"/>
                <w:szCs w:val="20"/>
              </w:rPr>
              <w:t xml:space="preserve">Drehzahlsteuerbar:</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Einbaulage:</w:t>
            </w:r>
          </w:p>
        </w:tc>
        <w:tc>
          <w:tcPr>
            <w:tcW w:w="3000" w:type="dxa"/>
          </w:tcPr>
          <w:p>
            <w:pPr>
              <w:jc w:val="right"/>
              <w:spacing w:before="0" w:after="0.1"/>
            </w:pPr>
            <w:r>
              <w:rPr>
                <w:rFonts w:ascii="Arial" w:hAnsi="Arial" w:eastAsia="Arial" w:cs="Arial"/>
                <w:sz w:val="20"/>
                <w:szCs w:val="20"/>
              </w:rPr>
              <w:t xml:space="preserve">waagerecht</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 EPP</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Edelstahl</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1,3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1,78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104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405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145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4012799924548</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0192.0454</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WRG 35-AR Ausgleichsrahmen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2024-07-06T16:24:16+00:00</dcterms:created>
  <dcterms:modified xsi:type="dcterms:W3CDTF">2024-07-06T16:24:16+00:00</dcterms:modified>
</cp:coreProperties>
</file>

<file path=docProps/custom.xml><?xml version="1.0" encoding="utf-8"?>
<Properties xmlns="http://schemas.openxmlformats.org/officeDocument/2006/custom-properties" xmlns:vt="http://schemas.openxmlformats.org/officeDocument/2006/docPropsVTypes"/>
</file>